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peopleDocument.xml" ContentType="application/vnd.openxmlformats-officedocument.wordprocessingml.people+xml"/>
  <Override PartName="/word/commentsIdsDocument.xml" ContentType="application/vnd.openxmlformats-officedocument.wordprocessingml.commentsIds+xml"/>
  <Override PartName="/word/commentsDocument.xml" ContentType="application/vnd.openxmlformats-officedocument.wordprocessingml.comments+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commentsExtendedDocument.xml" ContentType="application/vnd.openxmlformats-officedocument.wordprocessingml.commentsExtended+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ab/>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84"/>
        </w:rPr>
        <w:t xml:space="preserve">竞争性磋商文件</w:t>
      </w:r>
      <w:r/>
    </w:p>
    <w:p>
      <w:pPr>
        <w:ind w:left="0" w:right="0" w:firstLine="640"/>
        <w:spacing w:before="240" w:after="240" w:line="5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640"/>
        <w:spacing w:before="240" w:after="240" w:line="5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640"/>
        <w:spacing w:before="240" w:after="240" w:line="5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2209" w:right="0" w:hanging="2209"/>
        <w:jc w:val="both"/>
        <w:spacing w:before="240" w:after="24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项目名称：济川、延令街道及异地居住65周岁以下企业退休人员体检定点机构采购项目</w:t>
      </w:r>
      <w:r/>
    </w:p>
    <w:p>
      <w:pPr>
        <w:ind w:left="0" w:right="0" w:firstLine="0"/>
        <w:jc w:val="both"/>
        <w:spacing w:before="240" w:after="240" w:line="5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项目编号：JSZC-321283-GXGL-C2026-0008 </w:t>
      </w:r>
      <w:r/>
    </w:p>
    <w:p>
      <w:pPr>
        <w:ind w:left="0" w:right="0" w:firstLine="643"/>
        <w:jc w:val="center"/>
        <w:spacing w:before="240" w:after="240" w:line="5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643"/>
        <w:jc w:val="center"/>
        <w:spacing w:before="240" w:after="240" w:line="5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643"/>
        <w:jc w:val="center"/>
        <w:spacing w:before="240" w:after="240" w:line="5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643"/>
        <w:jc w:val="center"/>
        <w:spacing w:before="240" w:after="240" w:line="5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rPr>
          <w:rFonts w:ascii="Times New Roman" w:hAnsi="Times New Roman" w:eastAsia="Times New Roman" w:cs="Times New Roman"/>
          <w:b/>
          <w:color w:val="000000"/>
          <w:sz w:val="36"/>
        </w:rPr>
        <w:t xml:space="preserve"> </w:t>
      </w:r>
      <w:r/>
    </w:p>
    <w:p>
      <w:pPr>
        <w:ind w:left="-2" w:right="0" w:firstLine="2"/>
        <w:jc w:val="center"/>
        <w:spacing w:before="240" w:after="240" w:line="5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采购人：泰兴市退休人员社会化管理服务中心</w:t>
      </w:r>
      <w:r/>
    </w:p>
    <w:p>
      <w:pPr>
        <w:ind w:left="-2" w:right="0" w:firstLine="2"/>
        <w:jc w:val="center"/>
        <w:spacing w:before="240" w:after="240" w:line="5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代理机构：江苏国兴建设项目管理有限公司</w:t>
      </w:r>
      <w:r/>
    </w:p>
    <w:p>
      <w:pPr>
        <w:ind w:left="-2" w:right="0" w:firstLine="2"/>
        <w:jc w:val="center"/>
        <w:spacing w:before="240" w:after="240" w:line="5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二○二六年五月</w:t>
      </w:r>
      <w:r/>
    </w:p>
    <w:p>
      <w:pPr>
        <w:ind w:left="-2" w:right="0" w:firstLine="2"/>
        <w:jc w:val="center"/>
        <w:spacing w:before="240" w:after="240" w:line="5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5" w:right="0" w:firstLine="3"/>
        <w:jc w:val="center"/>
        <w:spacing w:before="240" w:after="240" w:line="499" w:lineRule="atLeast"/>
        <w:tabs>
          <w:tab w:val="left" w:pos="324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44"/>
        </w:rPr>
        <w:t xml:space="preserve">第一章  竞争性磋商公告</w:t>
      </w:r>
      <w:r/>
    </w:p>
    <w:p>
      <w:pPr>
        <w:ind w:left="641" w:right="0" w:hanging="646"/>
        <w:jc w:val="center"/>
        <w:spacing w:before="240" w:after="240" w:line="499" w:lineRule="atLeast"/>
        <w:tabs>
          <w:tab w:val="left" w:pos="324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both"/>
        <w:spacing w:before="0" w:after="0" w:line="499" w:lineRule="atLeast"/>
        <w:pBdr>
          <w:top w:val="single" w:color="000000" w:sz="4" w:space="0"/>
          <w:left w:val="single" w:color="000000" w:sz="4" w:space="0"/>
          <w:bottom w:val="single" w:color="000000" w:sz="4" w:space="0"/>
          <w:right w:val="single" w:color="000000" w:sz="4" w:space="0"/>
        </w:pBdr>
      </w:pPr>
      <w:r>
        <w:rPr>
          <w:rFonts w:ascii="FangSong" w:hAnsi="FangSong" w:eastAsia="FangSong" w:cs="FangSong"/>
          <w:color w:val="000000"/>
          <w:sz w:val="28"/>
        </w:rPr>
        <w:t xml:space="preserve">项目概况</w:t>
      </w:r>
      <w:r/>
    </w:p>
    <w:p>
      <w:pPr>
        <w:ind w:left="0" w:right="0" w:firstLine="560"/>
        <w:jc w:val="both"/>
        <w:spacing w:before="0" w:after="0" w:line="499" w:lineRule="atLeast"/>
        <w:pBdr>
          <w:top w:val="single" w:color="000000" w:sz="4" w:space="0"/>
          <w:left w:val="single" w:color="000000" w:sz="4" w:space="0"/>
          <w:bottom w:val="single" w:color="000000" w:sz="4" w:space="0"/>
          <w:right w:val="single" w:color="000000" w:sz="4" w:space="0"/>
        </w:pBdr>
      </w:pPr>
      <w:r>
        <w:rPr>
          <w:rFonts w:ascii="FangSong" w:hAnsi="FangSong" w:eastAsia="FangSong" w:cs="FangSong"/>
          <w:color w:val="000000"/>
          <w:sz w:val="28"/>
          <w:u w:val="single"/>
        </w:rPr>
        <w:t xml:space="preserve">济川、延令街道及异地居住65周岁以下企业退休人员体检定点机构采购项目</w:t>
        <w:tab/>
        <w:t xml:space="preserve">JSZC-321283-GXGL-C2026-0008    的潜在供应商应在“苏采云”政府采购一体化平台获取竞争性磋商文件，并于2026年5月 25 日9点00分（北京时间）前提交响应文件。</w:t>
      </w:r>
      <w:r/>
    </w:p>
    <w:p>
      <w:pPr>
        <w:ind w:left="0" w:right="0" w:firstLine="560"/>
        <w:jc w:val="both"/>
        <w:spacing w:before="0" w:after="0" w:line="558"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一、项目基本情况</w:t>
      </w:r>
      <w:r/>
    </w:p>
    <w:p>
      <w:pPr>
        <w:ind w:left="0" w:right="0" w:firstLine="560"/>
        <w:jc w:val="both"/>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1.项目编号：JSZC-321283-GXGL-C2026-0008   </w:t>
      </w:r>
      <w:r/>
    </w:p>
    <w:p>
      <w:pPr>
        <w:ind w:left="0" w:right="0" w:firstLine="560"/>
        <w:jc w:val="both"/>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2.项目名称</w:t>
      </w:r>
      <w:r>
        <w:rPr>
          <w:rFonts w:ascii="FangSong" w:hAnsi="FangSong" w:eastAsia="FangSong" w:cs="FangSong"/>
          <w:color w:val="000000"/>
          <w:spacing w:val="-14"/>
          <w:sz w:val="28"/>
        </w:rPr>
        <w:t xml:space="preserve">：济川、延令街道及异地居住65周岁以下企业退休人员体检定点机构采购项目</w:t>
      </w:r>
      <w:r>
        <w:rPr>
          <w:rFonts w:ascii="FangSong" w:hAnsi="FangSong" w:eastAsia="FangSong" w:cs="FangSong"/>
          <w:color w:val="000000"/>
          <w:sz w:val="28"/>
        </w:rPr>
        <w:t xml:space="preserve">；</w:t>
      </w:r>
      <w:r/>
    </w:p>
    <w:p>
      <w:pPr>
        <w:ind w:left="0" w:right="0" w:firstLine="560"/>
        <w:jc w:val="both"/>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3.采购方式：竞争性磋商；</w:t>
      </w:r>
      <w:r/>
    </w:p>
    <w:p>
      <w:pPr>
        <w:ind w:left="0" w:right="0" w:firstLine="560"/>
        <w:jc w:val="both"/>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4.预算金额：200万元，其中一标段130万元，二标段70万元；</w:t>
      </w:r>
      <w:r/>
    </w:p>
    <w:p>
      <w:pPr>
        <w:ind w:left="0" w:right="0" w:firstLine="560"/>
        <w:jc w:val="both"/>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5.最高限价：120元/人（本项目为固定单价，各投标单位统一报价为120元/人）；</w:t>
      </w:r>
      <w:r/>
    </w:p>
    <w:p>
      <w:pPr>
        <w:ind w:left="0" w:right="0" w:firstLine="560"/>
        <w:jc w:val="both"/>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6.采购需求：为居住在泰兴市济川、延令街道及异地（泰兴市外）居住65周岁以下已纳入社会化管理的企业退休人员健康体检。本项目分为两个标段：一标段：延令街道片区；二标段：济川街道片区。</w:t>
      </w:r>
      <w:r/>
    </w:p>
    <w:p>
      <w:pPr>
        <w:ind w:left="0" w:right="0" w:firstLine="420"/>
        <w:spacing w:before="240" w:after="24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注：本项目两个标段各投标单位均能报名，但只能中其中一个标段，且评审顺序按照一标段至二标段的顺序依次进行。</w:t>
      </w:r>
      <w:r/>
    </w:p>
    <w:p>
      <w:pPr>
        <w:ind w:left="0" w:right="0" w:firstLine="560"/>
        <w:jc w:val="both"/>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7.合同履行期限：2026年度，2028年度；</w:t>
      </w:r>
      <w:r/>
    </w:p>
    <w:p>
      <w:pPr>
        <w:ind w:left="0" w:right="0" w:firstLine="560"/>
        <w:jc w:val="both"/>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8.本项目（是/否）接受联合体投标：不接受联合体。</w:t>
      </w:r>
      <w:r/>
    </w:p>
    <w:p>
      <w:pPr>
        <w:ind w:left="0" w:right="0" w:firstLine="560"/>
        <w:jc w:val="both"/>
        <w:spacing w:before="0" w:after="0" w:line="558"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二、申请人的资格要求</w:t>
      </w:r>
      <w:r/>
    </w:p>
    <w:p>
      <w:pPr>
        <w:ind w:left="0" w:right="0" w:firstLine="560"/>
        <w:jc w:val="both"/>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（一）满足《中华人民共和国政府采购法》第二十二条规定：</w:t>
      </w:r>
      <w:r/>
    </w:p>
    <w:p>
      <w:pPr>
        <w:ind w:left="0" w:right="0" w:firstLine="560"/>
        <w:jc w:val="both"/>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基本资格条件的承诺（根据供应商提供的承诺函，内容完整且签章完备）。</w:t>
      </w:r>
      <w:r/>
    </w:p>
    <w:p>
      <w:pPr>
        <w:ind w:left="0" w:right="0" w:firstLine="560"/>
        <w:jc w:val="both"/>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（二）落实政府采购政策需满足的资格要求：本项目为非专门面向中小企业的项目。</w:t>
      </w:r>
      <w:r/>
    </w:p>
    <w:p>
      <w:pPr>
        <w:ind w:left="0" w:right="0" w:firstLine="560"/>
        <w:jc w:val="both"/>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（三）本项目的特定资格要求：无。</w:t>
      </w:r>
      <w:r/>
    </w:p>
    <w:p>
      <w:pPr>
        <w:ind w:left="0" w:right="0" w:firstLine="560"/>
        <w:jc w:val="both"/>
        <w:spacing w:before="0" w:after="0" w:line="558"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三、获取采购文件</w:t>
      </w:r>
      <w:r/>
    </w:p>
    <w:p>
      <w:pPr>
        <w:ind w:left="0" w:right="0" w:firstLine="56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获取时间：自磋商文件公告发布之日起5个工作日。</w:t>
      </w:r>
      <w:r/>
    </w:p>
    <w:p>
      <w:pPr>
        <w:ind w:left="0" w:right="0" w:firstLine="56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地点：“苏采云”政府采购一体化平台。</w:t>
      </w:r>
      <w:r/>
    </w:p>
    <w:p>
      <w:pPr>
        <w:ind w:left="0" w:right="0" w:firstLine="56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获取方式：线上获取。</w:t>
      </w:r>
      <w:r/>
    </w:p>
    <w:p>
      <w:pPr>
        <w:ind w:left="0" w:right="0" w:firstLine="56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w:t>
      </w:r>
      <w:r>
        <w:rPr>
          <w:rFonts w:ascii="FangSong" w:hAnsi="FangSong" w:eastAsia="FangSong" w:cs="FangSong"/>
          <w:color w:val="000000"/>
          <w:sz w:val="28"/>
        </w:rPr>
        <w:t xml:space="preserve">售价：免费。</w:t>
      </w:r>
      <w:r/>
    </w:p>
    <w:p>
      <w:pPr>
        <w:ind w:left="0" w:right="0" w:firstLine="560"/>
        <w:jc w:val="both"/>
        <w:spacing w:before="0" w:after="0" w:line="558"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四、提交首次响应文件</w:t>
      </w:r>
      <w:r/>
    </w:p>
    <w:p>
      <w:pPr>
        <w:ind w:left="0" w:right="0" w:firstLine="56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截止时间：</w:t>
      </w:r>
      <w:r>
        <w:rPr>
          <w:rFonts w:ascii="FangSong" w:hAnsi="FangSong" w:eastAsia="FangSong" w:cs="FangSong"/>
          <w:b/>
          <w:color w:val="000000"/>
          <w:sz w:val="28"/>
        </w:rPr>
        <w:t xml:space="preserve">2026-5-25         9：00（北京时间）。</w:t>
      </w:r>
      <w:r/>
    </w:p>
    <w:p>
      <w:pPr>
        <w:ind w:left="0" w:right="0" w:firstLine="56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地点：“苏采云”政府采购一体化平台。</w:t>
      </w:r>
      <w:r/>
    </w:p>
    <w:p>
      <w:pPr>
        <w:ind w:left="0" w:right="0" w:firstLine="560"/>
        <w:jc w:val="both"/>
        <w:spacing w:before="0" w:after="0" w:line="558"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五、开启</w:t>
      </w:r>
      <w:r/>
    </w:p>
    <w:p>
      <w:pPr>
        <w:ind w:left="0" w:right="0" w:firstLine="56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时间：</w:t>
      </w:r>
      <w:r>
        <w:rPr>
          <w:rFonts w:ascii="FangSong" w:hAnsi="FangSong" w:eastAsia="FangSong" w:cs="FangSong"/>
          <w:b/>
          <w:color w:val="000000"/>
          <w:sz w:val="28"/>
        </w:rPr>
        <w:t xml:space="preserve">2026-5-25         9：00（北京时间）。</w:t>
      </w:r>
      <w:r/>
    </w:p>
    <w:p>
      <w:pPr>
        <w:ind w:left="0" w:right="0" w:firstLine="56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地点：“苏采云”政府采购一体化平台。</w:t>
      </w:r>
      <w:r/>
    </w:p>
    <w:p>
      <w:pPr>
        <w:ind w:left="0" w:right="0" w:firstLine="560"/>
        <w:jc w:val="both"/>
        <w:spacing w:before="0" w:after="0" w:line="558"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六、公告期限</w:t>
      </w:r>
      <w:r/>
    </w:p>
    <w:p>
      <w:pPr>
        <w:ind w:left="0" w:right="0" w:firstLine="560"/>
        <w:jc w:val="both"/>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自本公告发布之日起</w:t>
      </w:r>
      <w:r>
        <w:rPr>
          <w:rFonts w:ascii="Times New Roman" w:hAnsi="Times New Roman" w:eastAsia="Times New Roman" w:cs="Times New Roman"/>
          <w:color w:val="000000"/>
          <w:sz w:val="28"/>
        </w:rPr>
        <w:t xml:space="preserve">5</w:t>
      </w:r>
      <w:r>
        <w:rPr>
          <w:rFonts w:ascii="FangSong" w:hAnsi="FangSong" w:eastAsia="FangSong" w:cs="FangSong"/>
          <w:color w:val="000000"/>
          <w:sz w:val="28"/>
        </w:rPr>
        <w:t xml:space="preserve">个工作日。</w:t>
      </w:r>
      <w:r/>
    </w:p>
    <w:p>
      <w:pPr>
        <w:ind w:left="0" w:right="0" w:firstLine="560"/>
        <w:jc w:val="both"/>
        <w:spacing w:before="0" w:after="0" w:line="558"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七、其他补充事宜</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磋商保证金：无须缴纳。</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采购信息发布媒介：江苏政府采购网（</w:t>
      </w:r>
      <w:r>
        <w:rPr>
          <w:rFonts w:ascii="Times New Roman" w:hAnsi="Times New Roman" w:eastAsia="Times New Roman" w:cs="Times New Roman"/>
          <w:color w:val="000000"/>
          <w:sz w:val="28"/>
        </w:rPr>
        <w:t xml:space="preserve">www.ccgp-jiangsu.gov.cn</w:t>
      </w:r>
      <w:r>
        <w:rPr>
          <w:rFonts w:ascii="FangSong" w:hAnsi="FangSong" w:eastAsia="FangSong" w:cs="FangSong"/>
          <w:color w:val="000000"/>
          <w:sz w:val="28"/>
        </w:rPr>
        <w:t xml:space="preserve">）。</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3.</w:t>
      </w:r>
      <w:r>
        <w:rPr>
          <w:rFonts w:ascii="FangSong" w:hAnsi="FangSong" w:eastAsia="FangSong" w:cs="FangSong"/>
          <w:b/>
          <w:color w:val="000000"/>
          <w:sz w:val="28"/>
        </w:rPr>
        <w:t xml:space="preserve">注意事项：</w:t>
      </w:r>
      <w:r/>
    </w:p>
    <w:p>
      <w:pPr>
        <w:ind w:left="0" w:right="0" w:firstLine="562"/>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w:t>
      </w:r>
      <w:r>
        <w:rPr>
          <w:rFonts w:ascii="Times New Roman" w:hAnsi="Times New Roman" w:eastAsia="Times New Roman" w:cs="Times New Roman"/>
          <w:b/>
          <w:color w:val="000000"/>
          <w:sz w:val="28"/>
        </w:rPr>
        <w:t xml:space="preserve">1</w:t>
      </w:r>
      <w:r>
        <w:rPr>
          <w:rFonts w:ascii="FangSong" w:hAnsi="FangSong" w:eastAsia="FangSong" w:cs="FangSong"/>
          <w:b/>
          <w:color w:val="000000"/>
          <w:sz w:val="28"/>
        </w:rPr>
        <w:t xml:space="preserve">）潜在供应商登录“江苏省政府采购管理交易系统（苏采云）”须持经注册的CA证书。未注册、领取CA和办理电子签章的潜在供应商，请至泰州市高港区泰州大道188号(中国医药城会展交易中心W3馆西南角)公共资源交易大厅政务CA窗口办理，电话：0523-81568158。</w:t>
      </w:r>
      <w:r/>
    </w:p>
    <w:p>
      <w:pPr>
        <w:ind w:left="0" w:right="0" w:firstLine="562"/>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w:t>
      </w:r>
      <w:r>
        <w:rPr>
          <w:rFonts w:ascii="Times New Roman" w:hAnsi="Times New Roman" w:eastAsia="Times New Roman" w:cs="Times New Roman"/>
          <w:b/>
          <w:color w:val="000000"/>
          <w:sz w:val="28"/>
        </w:rPr>
        <w:t xml:space="preserve">2</w:t>
      </w:r>
      <w:r>
        <w:rPr>
          <w:rFonts w:ascii="FangSong" w:hAnsi="FangSong" w:eastAsia="FangSong" w:cs="FangSong"/>
          <w:b/>
          <w:color w:val="000000"/>
          <w:sz w:val="28"/>
        </w:rPr>
        <w:t xml:space="preserve">）本项目采用电子化投标，供应商应根据《江苏省政府采购管理交易系统（苏采云）供应商操作手册》（“泰州市政府采购网—下载中心”下载）规定，制作、上传电子投标文件（技术支持电话：0523-87633965、0523-86897512；客服QQ：709339244、QQ：1810179072）。</w:t>
      </w:r>
      <w:r/>
    </w:p>
    <w:p>
      <w:pPr>
        <w:ind w:left="0" w:right="0" w:firstLine="562"/>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w:t>
      </w:r>
      <w:r>
        <w:rPr>
          <w:rFonts w:ascii="Times New Roman" w:hAnsi="Times New Roman" w:eastAsia="Times New Roman" w:cs="Times New Roman"/>
          <w:b/>
          <w:color w:val="000000"/>
          <w:sz w:val="28"/>
        </w:rPr>
        <w:t xml:space="preserve">3</w:t>
      </w:r>
      <w:r>
        <w:rPr>
          <w:rFonts w:ascii="FangSong" w:hAnsi="FangSong" w:eastAsia="FangSong" w:cs="FangSong"/>
          <w:b/>
          <w:color w:val="000000"/>
          <w:sz w:val="28"/>
        </w:rPr>
        <w:t xml:space="preserve">）有关本次招标的事项若存在变动或修改，敬请及时关注“江苏政府采购网”发布的更正公告。</w:t>
      </w:r>
      <w:r/>
    </w:p>
    <w:p>
      <w:pPr>
        <w:ind w:left="0" w:right="0" w:firstLine="562"/>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如潜在供应商未按上述要求操作，将自行承担所产生的风险。</w:t>
      </w:r>
      <w:r/>
    </w:p>
    <w:p>
      <w:pPr>
        <w:ind w:left="0" w:right="0" w:firstLine="640"/>
        <w:jc w:val="both"/>
        <w:spacing w:before="0" w:after="0" w:line="51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八、对本次招标提出询问，请按以下方式联系</w:t>
      </w:r>
      <w:r/>
    </w:p>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1.采购人信息</w:t>
      </w:r>
      <w:r/>
    </w:p>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名称：泰兴市退休人员社会化管理服务中心</w:t>
      </w:r>
      <w:r/>
    </w:p>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地址：泰兴市长征路99号</w:t>
      </w:r>
      <w:r/>
    </w:p>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联系方式：13775739598</w:t>
      </w:r>
      <w:r/>
    </w:p>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2.采购代理机构信息</w:t>
      </w:r>
      <w:r/>
    </w:p>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名 称：江苏国兴建设项目管理有限公司</w:t>
      </w:r>
      <w:r/>
    </w:p>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地　址：泰兴市政务服务中心10楼</w:t>
      </w:r>
      <w:r/>
    </w:p>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联系方式：17701421886</w:t>
      </w:r>
      <w:r/>
    </w:p>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3.项目联系方式</w:t>
      </w:r>
      <w:r/>
    </w:p>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项目联系人：泰兴市退休人员社会化管理服务中心    高斌</w:t>
      </w:r>
      <w:r/>
    </w:p>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电　话：13775739598 </w:t>
      </w:r>
      <w:r/>
    </w:p>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项目联系人：江苏国兴建设项目管理有限公司  刘雪芬</w:t>
      </w:r>
      <w:r/>
    </w:p>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电　话：17701421886</w:t>
      </w:r>
      <w:r/>
    </w:p>
    <w:p>
      <w:pPr>
        <w:ind w:left="0" w:right="0" w:firstLine="562"/>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pPr>
        <w:ind w:left="0" w:right="0" w:firstLine="562"/>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pPr>
        <w:ind w:left="0" w:right="0" w:firstLine="0"/>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880"/>
        <w:jc w:val="center"/>
        <w:spacing w:before="240" w:after="240" w:line="49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44"/>
        </w:rPr>
        <w:t xml:space="preserve">第二章供应商须知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供应商须知前附表</w:t>
      </w:r>
      <w:r/>
    </w:p>
    <w:tbl>
      <w:tblPr>
        <w:tblStyle w:val="72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53"/>
        <w:gridCol w:w="2174"/>
        <w:gridCol w:w="5898"/>
      </w:tblGrid>
      <w:tr>
        <w:trPr>
          <w:trHeight w:val="39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53"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条款号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7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条款名称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898"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编列内容</w:t>
            </w:r>
            <w:r/>
          </w:p>
        </w:tc>
      </w:tr>
      <w:tr>
        <w:trPr>
          <w:trHeight w:val="15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3"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采购人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98"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名称：泰兴市退休人员社会化管理服务中心</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地址：泰兴市长征路99号北侧</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联系人：高斌 </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联系电话：13775739598</w:t>
            </w:r>
            <w:r>
              <w:rPr>
                <w:rFonts w:ascii="Times New Roman" w:hAnsi="Times New Roman" w:eastAsia="Times New Roman" w:cs="Times New Roman"/>
                <w:color w:val="000000"/>
                <w:sz w:val="24"/>
              </w:rPr>
              <w:t xml:space="preserve"> </w:t>
            </w:r>
            <w:r/>
          </w:p>
        </w:tc>
      </w:tr>
      <w:tr>
        <w:trPr>
          <w:trHeight w:val="1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3"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采购代理机构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98"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名称：江苏国兴建设项目管理有限公司</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地址：泰兴市政务服务中心</w:t>
            </w:r>
            <w:r>
              <w:rPr>
                <w:rFonts w:ascii="Times New Roman" w:hAnsi="Times New Roman" w:eastAsia="Times New Roman" w:cs="Times New Roman"/>
                <w:color w:val="000000"/>
                <w:sz w:val="24"/>
              </w:rPr>
              <w:t xml:space="preserve">10</w:t>
            </w:r>
            <w:r>
              <w:rPr>
                <w:rFonts w:ascii="FangSong" w:hAnsi="FangSong" w:eastAsia="FangSong" w:cs="FangSong"/>
                <w:color w:val="000000"/>
                <w:sz w:val="24"/>
              </w:rPr>
              <w:t xml:space="preserve">楼国兴办公室</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联系人：刘雪芬</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联系电话：</w:t>
            </w:r>
            <w:r>
              <w:rPr>
                <w:rFonts w:ascii="Times New Roman" w:hAnsi="Times New Roman" w:eastAsia="Times New Roman" w:cs="Times New Roman"/>
                <w:color w:val="000000"/>
                <w:sz w:val="24"/>
              </w:rPr>
              <w:t xml:space="preserve">17701421886</w:t>
            </w:r>
            <w:r>
              <w:rPr>
                <w:rFonts w:ascii="FangSong" w:hAnsi="FangSong" w:eastAsia="FangSong" w:cs="FangSong"/>
                <w:color w:val="000000"/>
                <w:sz w:val="24"/>
              </w:rPr>
              <w:t xml:space="preserve">、</w:t>
            </w:r>
            <w:r>
              <w:rPr>
                <w:rFonts w:ascii="Times New Roman" w:hAnsi="Times New Roman" w:eastAsia="Times New Roman" w:cs="Times New Roman"/>
                <w:color w:val="000000"/>
                <w:sz w:val="24"/>
              </w:rPr>
              <w:t xml:space="preserve">0523-87331688</w:t>
            </w:r>
            <w:r/>
          </w:p>
        </w:tc>
      </w:tr>
      <w:tr>
        <w:trPr>
          <w:trHeight w:val="88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3"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项目名称及项目编号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98" w:type="dxa"/>
            <w:vAlign w:val="center"/>
            <w:textDirection w:val="lrTb"/>
            <w:noWrap w:val="false"/>
          </w:tcPr>
          <w:p>
            <w:pPr>
              <w:ind w:left="1243" w:right="-132" w:hanging="1243"/>
              <w:jc w:val="both"/>
              <w:spacing w:before="0" w:after="0" w:line="41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项目名称：济川、延令街道及异地居住65周岁以下企业退休人员体检定点机构采购项目</w:t>
            </w:r>
            <w:r/>
          </w:p>
          <w:p>
            <w:pPr>
              <w:ind w:left="1243" w:right="0" w:hanging="1243"/>
              <w:jc w:val="both"/>
              <w:spacing w:before="0" w:after="0" w:line="41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项目编号：</w:t>
              <w:tab/>
              <w:t xml:space="preserve">JSZC-321283-GXGL-C2026-0008 </w:t>
            </w:r>
            <w:r>
              <w:rPr>
                <w:rFonts w:ascii="Times New Roman" w:hAnsi="Times New Roman" w:eastAsia="Times New Roman" w:cs="Times New Roman"/>
                <w:color w:val="000000"/>
                <w:sz w:val="24"/>
              </w:rPr>
              <w:t xml:space="preserve"> </w:t>
            </w:r>
            <w:r/>
          </w:p>
        </w:tc>
      </w:tr>
      <w:tr>
        <w:trPr>
          <w:trHeight w:val="10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3"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4"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付款方式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98" w:type="dxa"/>
            <w:vAlign w:val="center"/>
            <w:textDirection w:val="lrTb"/>
            <w:noWrap w:val="false"/>
          </w:tcPr>
          <w:p>
            <w:pPr>
              <w:ind w:left="0" w:right="0" w:firstLine="0"/>
              <w:jc w:val="both"/>
              <w:spacing w:before="0" w:after="0" w:line="41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按实际体检人员数量汇总结算服务费，通过银行汇入中标人账户</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3"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1.3.1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采购范围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98" w:type="dxa"/>
            <w:vAlign w:val="center"/>
            <w:textDirection w:val="lrTb"/>
            <w:noWrap w:val="false"/>
          </w:tcPr>
          <w:p>
            <w:pPr>
              <w:ind w:left="1243" w:right="-132" w:hanging="1243"/>
              <w:jc w:val="both"/>
              <w:spacing w:before="0" w:after="0" w:line="41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见第五章采购需求</w:t>
            </w:r>
            <w:r/>
          </w:p>
        </w:tc>
      </w:tr>
      <w:tr>
        <w:trPr>
          <w:trHeight w:val="4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3"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合同履行期限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98" w:type="dxa"/>
            <w:vAlign w:val="center"/>
            <w:textDirection w:val="lrTb"/>
            <w:noWrap w:val="false"/>
          </w:tcPr>
          <w:p>
            <w:pPr>
              <w:ind w:left="1243" w:right="-132" w:hanging="1243"/>
              <w:jc w:val="both"/>
              <w:spacing w:before="0" w:after="0" w:line="41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2026年度、2028年度</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3"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1.4.2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要求供应商具备的特定条件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98" w:type="dxa"/>
            <w:vAlign w:val="center"/>
            <w:textDirection w:val="lrTb"/>
            <w:noWrap w:val="false"/>
          </w:tcPr>
          <w:p>
            <w:pPr>
              <w:ind w:left="0" w:right="0" w:firstLine="0"/>
              <w:spacing w:before="0" w:after="0" w:line="41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无</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3"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构成竞争性磋商文件的其他材料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98"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无</w:t>
            </w:r>
            <w:r/>
          </w:p>
        </w:tc>
      </w:tr>
      <w:tr>
        <w:trPr>
          <w:trHeight w:val="8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3"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10"/>
                <w:sz w:val="24"/>
              </w:rPr>
              <w:t xml:space="preserve">供应商要求澄清竞争性磋商文件的截止时间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98" w:type="dxa"/>
            <w:vAlign w:val="center"/>
            <w:textDirection w:val="lrTb"/>
            <w:noWrap w:val="false"/>
          </w:tcPr>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2026</w:t>
            </w:r>
            <w:r>
              <w:rPr>
                <w:rFonts w:ascii="FangSong" w:hAnsi="FangSong" w:eastAsia="FangSong" w:cs="FangSong"/>
                <w:color w:val="000000"/>
                <w:sz w:val="24"/>
              </w:rPr>
              <w:t xml:space="preserve">年</w:t>
            </w:r>
            <w:r>
              <w:rPr>
                <w:rFonts w:ascii="Times New Roman" w:hAnsi="Times New Roman" w:eastAsia="Times New Roman" w:cs="Times New Roman"/>
                <w:color w:val="000000"/>
                <w:sz w:val="24"/>
              </w:rPr>
              <w:t xml:space="preserve">5</w:t>
            </w:r>
            <w:r>
              <w:rPr>
                <w:rFonts w:ascii="FangSong" w:hAnsi="FangSong" w:eastAsia="FangSong" w:cs="FangSong"/>
                <w:color w:val="000000"/>
                <w:sz w:val="24"/>
              </w:rPr>
              <w:t xml:space="preserve">月20日</w:t>
            </w:r>
            <w:r>
              <w:rPr>
                <w:rFonts w:ascii="Times New Roman" w:hAnsi="Times New Roman" w:eastAsia="Times New Roman" w:cs="Times New Roman"/>
                <w:color w:val="000000"/>
                <w:sz w:val="24"/>
              </w:rPr>
              <w:t xml:space="preserve">17</w:t>
            </w:r>
            <w:r>
              <w:rPr>
                <w:rFonts w:ascii="FangSong" w:hAnsi="FangSong" w:eastAsia="FangSong" w:cs="FangSong"/>
                <w:color w:val="000000"/>
                <w:sz w:val="24"/>
              </w:rPr>
              <w:t xml:space="preserve">时</w:t>
            </w:r>
            <w:r>
              <w:rPr>
                <w:rFonts w:ascii="Times New Roman" w:hAnsi="Times New Roman" w:eastAsia="Times New Roman" w:cs="Times New Roman"/>
                <w:color w:val="000000"/>
                <w:sz w:val="24"/>
              </w:rPr>
              <w:t xml:space="preserve">30</w:t>
            </w:r>
            <w:r>
              <w:rPr>
                <w:rFonts w:ascii="FangSong" w:hAnsi="FangSong" w:eastAsia="FangSong" w:cs="FangSong"/>
                <w:color w:val="000000"/>
                <w:sz w:val="24"/>
              </w:rPr>
              <w:t xml:space="preserve">分</w:t>
            </w:r>
            <w:r/>
          </w:p>
        </w:tc>
      </w:tr>
      <w:tr>
        <w:trPr>
          <w:trHeight w:val="5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3"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3.1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4"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响应文件的组成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98"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FangSong" w:hAnsi="FangSong" w:eastAsia="FangSong" w:cs="FangSong"/>
                <w:color w:val="000000"/>
                <w:sz w:val="24"/>
              </w:rPr>
              <w:t xml:space="preserve">响应函。</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FangSong" w:hAnsi="FangSong" w:eastAsia="FangSong" w:cs="FangSong"/>
                <w:color w:val="000000"/>
                <w:sz w:val="24"/>
              </w:rPr>
              <w:t xml:space="preserve">供应商基本资格条件承诺书。</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FangSong" w:hAnsi="FangSong" w:eastAsia="FangSong" w:cs="FangSong"/>
                <w:color w:val="000000"/>
                <w:sz w:val="24"/>
              </w:rPr>
              <w:t xml:space="preserve">中小企业声明函（若需）。</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FangSong" w:hAnsi="FangSong" w:eastAsia="FangSong" w:cs="FangSong"/>
                <w:color w:val="000000"/>
                <w:sz w:val="24"/>
              </w:rPr>
              <w:t xml:space="preserve">采购需求响应表。</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FangSong" w:hAnsi="FangSong" w:eastAsia="FangSong" w:cs="FangSong"/>
                <w:color w:val="000000"/>
                <w:sz w:val="24"/>
              </w:rPr>
              <w:t xml:space="preserve">报价明细表（若需）。</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FangSong" w:hAnsi="FangSong" w:eastAsia="FangSong" w:cs="FangSong"/>
                <w:color w:val="000000"/>
                <w:sz w:val="24"/>
              </w:rPr>
              <w:t xml:space="preserve">供应商认为应列入响应文件的其他材料。</w:t>
            </w:r>
            <w:r/>
          </w:p>
        </w:tc>
      </w:tr>
      <w:tr>
        <w:trPr>
          <w:trHeight w:val="8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3"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3.2.3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报价的其他要求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98"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FangSong" w:hAnsi="FangSong" w:eastAsia="FangSong" w:cs="FangSong"/>
                <w:color w:val="000000"/>
                <w:sz w:val="24"/>
              </w:rPr>
              <w:t xml:space="preserve">按照磋商小组的要求，在规定的时间内通过“苏采云”系统提交最后报价。</w:t>
            </w:r>
            <w:r/>
          </w:p>
        </w:tc>
      </w:tr>
      <w:tr>
        <w:trPr>
          <w:trHeight w:val="50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3"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3.3.3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响应文件的份数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98" w:type="dxa"/>
            <w:vAlign w:val="center"/>
            <w:textDirection w:val="lrTb"/>
            <w:noWrap w:val="false"/>
          </w:tcPr>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电子响应文件壹份</w:t>
            </w:r>
            <w:r/>
          </w:p>
        </w:tc>
      </w:tr>
      <w:tr>
        <w:trPr>
          <w:trHeight w:val="17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3"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3.3.4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响应文件的签署</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98"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响应函、供应商基本资格条件承诺书、中小企业声明函（若需）须加盖供应商法人章并经法定代表人或经其授权的代表签字或签章。授权代表签字或签章时，须将《法定代表人授权书》及其附件编制在响应文件中</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3"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4.1.1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响应文件开启时间和地点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98"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FangSong" w:hAnsi="FangSong" w:eastAsia="FangSong" w:cs="FangSong"/>
                <w:color w:val="000000"/>
                <w:sz w:val="24"/>
              </w:rPr>
              <w:t xml:space="preserve">本项目通过“苏采云”系统进行电子采购，即供应商响应文件从政府采购客户端工具制作并通过“苏采云”系统提交。</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供应商应当通过“苏采云”系统提交数据电文形式的响应文件（即电子投标）。未进行线上响应文件提交并解密</w:t>
            </w:r>
            <w:r>
              <w:rPr>
                <w:rFonts w:ascii="Times New Roman" w:hAnsi="Times New Roman" w:eastAsia="Times New Roman" w:cs="Times New Roman"/>
                <w:color w:val="000000"/>
                <w:sz w:val="24"/>
              </w:rPr>
              <w:t xml:space="preserve">(</w:t>
            </w:r>
            <w:r>
              <w:rPr>
                <w:rFonts w:ascii="FangSong" w:hAnsi="FangSong" w:eastAsia="FangSong" w:cs="FangSong"/>
                <w:color w:val="000000"/>
                <w:sz w:val="24"/>
              </w:rPr>
              <w:t xml:space="preserve">因“苏采云”系统导致解密失败的除外</w:t>
            </w:r>
            <w:r>
              <w:rPr>
                <w:rFonts w:ascii="Times New Roman" w:hAnsi="Times New Roman" w:eastAsia="Times New Roman" w:cs="Times New Roman"/>
                <w:color w:val="000000"/>
                <w:sz w:val="24"/>
              </w:rPr>
              <w:t xml:space="preserve">)</w:t>
            </w:r>
            <w:r>
              <w:rPr>
                <w:rFonts w:ascii="FangSong" w:hAnsi="FangSong" w:eastAsia="FangSong" w:cs="FangSong"/>
                <w:color w:val="000000"/>
                <w:sz w:val="24"/>
              </w:rPr>
              <w:t xml:space="preserve">的供应商，响应无效。</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w:t>
            </w:r>
            <w:r>
              <w:rPr>
                <w:rFonts w:ascii="Times New Roman" w:hAnsi="Times New Roman" w:eastAsia="Times New Roman" w:cs="Times New Roman"/>
                <w:color w:val="000000"/>
                <w:sz w:val="24"/>
              </w:rPr>
              <w:t xml:space="preserve">CA</w:t>
            </w:r>
            <w:r>
              <w:rPr>
                <w:rFonts w:ascii="FangSong" w:hAnsi="FangSong" w:eastAsia="FangSong" w:cs="FangSong"/>
                <w:color w:val="000000"/>
                <w:sz w:val="24"/>
              </w:rPr>
              <w:t xml:space="preserve">数字证书”的获取：供应商需办理</w:t>
            </w:r>
            <w:r>
              <w:rPr>
                <w:rFonts w:ascii="Times New Roman" w:hAnsi="Times New Roman" w:eastAsia="Times New Roman" w:cs="Times New Roman"/>
                <w:color w:val="000000"/>
                <w:sz w:val="24"/>
              </w:rPr>
              <w:t xml:space="preserve">CA</w:t>
            </w:r>
            <w:r>
              <w:rPr>
                <w:rFonts w:ascii="FangSong" w:hAnsi="FangSong" w:eastAsia="FangSong" w:cs="FangSong"/>
                <w:color w:val="000000"/>
                <w:sz w:val="24"/>
              </w:rPr>
              <w:t xml:space="preserve">锁，“</w:t>
            </w:r>
            <w:r>
              <w:rPr>
                <w:rFonts w:ascii="Times New Roman" w:hAnsi="Times New Roman" w:eastAsia="Times New Roman" w:cs="Times New Roman"/>
                <w:color w:val="000000"/>
                <w:sz w:val="24"/>
              </w:rPr>
              <w:t xml:space="preserve">CA</w:t>
            </w:r>
            <w:r>
              <w:rPr>
                <w:rFonts w:ascii="FangSong" w:hAnsi="FangSong" w:eastAsia="FangSong" w:cs="FangSong"/>
                <w:color w:val="000000"/>
                <w:sz w:val="24"/>
              </w:rPr>
              <w:t xml:space="preserve">数字证书”的办理方法详见“江苏省政府采购数字证书</w:t>
            </w:r>
            <w:r>
              <w:rPr>
                <w:rFonts w:ascii="Times New Roman" w:hAnsi="Times New Roman" w:eastAsia="Times New Roman" w:cs="Times New Roman"/>
                <w:color w:val="000000"/>
                <w:sz w:val="24"/>
              </w:rPr>
              <w:t xml:space="preserve">CA</w:t>
            </w:r>
            <w:r>
              <w:rPr>
                <w:rFonts w:ascii="FangSong" w:hAnsi="FangSong" w:eastAsia="FangSong" w:cs="FangSong"/>
                <w:color w:val="000000"/>
                <w:sz w:val="24"/>
              </w:rPr>
              <w:t xml:space="preserve">及电子签章办理指南”，网址：</w:t>
            </w:r>
            <w:r>
              <w:rPr>
                <w:rFonts w:ascii="Times New Roman" w:hAnsi="Times New Roman" w:eastAsia="Times New Roman" w:cs="Times New Roman"/>
                <w:color w:val="000000"/>
                <w:sz w:val="24"/>
              </w:rPr>
              <w:t xml:space="preserve">http://jsxcmm.com/help/ help.html</w:t>
            </w:r>
            <w:r>
              <w:rPr>
                <w:rFonts w:ascii="FangSong" w:hAnsi="FangSong" w:eastAsia="FangSong" w:cs="FangSong"/>
                <w:color w:val="000000"/>
                <w:sz w:val="24"/>
              </w:rPr>
              <w:t xml:space="preserve">。</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使用需要第三方认证的电子签名、数据电文，通过互联网方式提交首次响应文件。即：使用“电子签名认证证书（</w:t>
            </w:r>
            <w:r>
              <w:rPr>
                <w:rFonts w:ascii="Times New Roman" w:hAnsi="Times New Roman" w:eastAsia="Times New Roman" w:cs="Times New Roman"/>
                <w:color w:val="000000"/>
                <w:sz w:val="24"/>
              </w:rPr>
              <w:t xml:space="preserve">CA</w:t>
            </w:r>
            <w:r>
              <w:rPr>
                <w:rFonts w:ascii="FangSong" w:hAnsi="FangSong" w:eastAsia="FangSong" w:cs="FangSong"/>
                <w:color w:val="000000"/>
                <w:sz w:val="24"/>
              </w:rPr>
              <w:t xml:space="preserve">数字证书）”登录“苏采云”系统（网址：</w:t>
            </w:r>
            <w:r>
              <w:rPr>
                <w:rFonts w:ascii="Times New Roman" w:hAnsi="Times New Roman" w:eastAsia="Times New Roman" w:cs="Times New Roman"/>
                <w:color w:val="000000"/>
                <w:sz w:val="24"/>
              </w:rPr>
              <w:t xml:space="preserve">http://jszfcg.jsczt.cn/</w:t>
            </w:r>
            <w:r>
              <w:rPr>
                <w:rFonts w:ascii="FangSong" w:hAnsi="FangSong" w:eastAsia="FangSong" w:cs="FangSong"/>
                <w:color w:val="000000"/>
                <w:sz w:val="24"/>
              </w:rPr>
              <w:t xml:space="preserve">），按照要求通过互联网方式提交响应文件。</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“苏采云”系统使用要求：</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使用谷歌浏览器参与不见面开标及开标环节。</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电脑需提前准备好麦克风、音响，摄像头，提前检查保证能够正常使用。</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操作系统至少</w:t>
            </w:r>
            <w:r>
              <w:rPr>
                <w:rFonts w:ascii="Times New Roman" w:hAnsi="Times New Roman" w:eastAsia="Times New Roman" w:cs="Times New Roman"/>
                <w:color w:val="000000"/>
                <w:sz w:val="24"/>
              </w:rPr>
              <w:t xml:space="preserve">win7</w:t>
            </w:r>
            <w:r>
              <w:rPr>
                <w:rFonts w:ascii="FangSong" w:hAnsi="FangSong" w:eastAsia="FangSong" w:cs="FangSong"/>
                <w:color w:val="000000"/>
                <w:sz w:val="24"/>
              </w:rPr>
              <w:t xml:space="preserve">以上，建议使用</w:t>
            </w:r>
            <w:r>
              <w:rPr>
                <w:rFonts w:ascii="Times New Roman" w:hAnsi="Times New Roman" w:eastAsia="Times New Roman" w:cs="Times New Roman"/>
                <w:color w:val="000000"/>
                <w:sz w:val="24"/>
              </w:rPr>
              <w:t xml:space="preserve">win10</w:t>
            </w:r>
            <w:r>
              <w:rPr>
                <w:rFonts w:ascii="FangSong" w:hAnsi="FangSong" w:eastAsia="FangSong" w:cs="FangSong"/>
                <w:color w:val="000000"/>
                <w:sz w:val="24"/>
              </w:rPr>
              <w:t xml:space="preserve">操作系统。</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开标时间：</w:t>
            </w:r>
            <w:r>
              <w:rPr>
                <w:rFonts w:ascii="Times New Roman" w:hAnsi="Times New Roman" w:eastAsia="Times New Roman" w:cs="Times New Roman"/>
                <w:color w:val="000000"/>
                <w:sz w:val="24"/>
              </w:rPr>
              <w:t xml:space="preserve">2026</w:t>
            </w:r>
            <w:r>
              <w:rPr>
                <w:rFonts w:ascii="FangSong" w:hAnsi="FangSong" w:eastAsia="FangSong" w:cs="FangSong"/>
                <w:color w:val="000000"/>
                <w:sz w:val="24"/>
              </w:rPr>
              <w:t xml:space="preserve">年</w:t>
            </w:r>
            <w:r>
              <w:rPr>
                <w:rFonts w:ascii="Times New Roman" w:hAnsi="Times New Roman" w:eastAsia="Times New Roman" w:cs="Times New Roman"/>
                <w:color w:val="000000"/>
                <w:sz w:val="24"/>
              </w:rPr>
              <w:t xml:space="preserve"> 5 </w:t>
            </w:r>
            <w:r>
              <w:rPr>
                <w:rFonts w:ascii="FangSong" w:hAnsi="FangSong" w:eastAsia="FangSong" w:cs="FangSong"/>
                <w:color w:val="000000"/>
                <w:sz w:val="24"/>
              </w:rPr>
              <w:t xml:space="preserve">月</w:t>
            </w:r>
            <w:r>
              <w:rPr>
                <w:rFonts w:ascii="Times New Roman" w:hAnsi="Times New Roman" w:eastAsia="Times New Roman" w:cs="Times New Roman"/>
                <w:color w:val="000000"/>
                <w:sz w:val="24"/>
              </w:rPr>
              <w:t xml:space="preserve"> 25 </w:t>
            </w:r>
            <w:r>
              <w:rPr>
                <w:rFonts w:ascii="FangSong" w:hAnsi="FangSong" w:eastAsia="FangSong" w:cs="FangSong"/>
                <w:color w:val="000000"/>
                <w:sz w:val="24"/>
              </w:rPr>
              <w:t xml:space="preserve">日</w:t>
            </w:r>
            <w:r>
              <w:rPr>
                <w:rFonts w:ascii="Times New Roman" w:hAnsi="Times New Roman" w:eastAsia="Times New Roman" w:cs="Times New Roman"/>
                <w:color w:val="000000"/>
                <w:sz w:val="24"/>
              </w:rPr>
              <w:t xml:space="preserve">9</w:t>
            </w:r>
            <w:r>
              <w:rPr>
                <w:rFonts w:ascii="FangSong" w:hAnsi="FangSong" w:eastAsia="FangSong" w:cs="FangSong"/>
                <w:color w:val="000000"/>
                <w:sz w:val="24"/>
              </w:rPr>
              <w:t xml:space="preserve">时</w:t>
            </w:r>
            <w:r>
              <w:rPr>
                <w:rFonts w:ascii="Times New Roman" w:hAnsi="Times New Roman" w:eastAsia="Times New Roman" w:cs="Times New Roman"/>
                <w:color w:val="000000"/>
                <w:sz w:val="24"/>
              </w:rPr>
              <w:t xml:space="preserve">00</w:t>
            </w:r>
            <w:r>
              <w:rPr>
                <w:rFonts w:ascii="FangSong" w:hAnsi="FangSong" w:eastAsia="FangSong" w:cs="FangSong"/>
                <w:color w:val="000000"/>
                <w:sz w:val="24"/>
              </w:rPr>
              <w:t xml:space="preserve">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开标地点：“苏采云”系统（网址：</w:t>
            </w:r>
            <w:r>
              <w:rPr>
                <w:rFonts w:ascii="Times New Roman" w:hAnsi="Times New Roman" w:eastAsia="Times New Roman" w:cs="Times New Roman"/>
                <w:color w:val="000000"/>
                <w:sz w:val="24"/>
              </w:rPr>
              <w:t xml:space="preserve">http://jszfcg.jsczt.cn/</w:t>
            </w:r>
            <w:r>
              <w:rPr>
                <w:rFonts w:ascii="FangSong" w:hAnsi="FangSong" w:eastAsia="FangSong" w:cs="FangSong"/>
                <w:color w:val="000000"/>
                <w:sz w:val="24"/>
              </w:rPr>
              <w:t xml:space="preserve">）“开标大厅，点击“苏采云”进入系统“开标大厅”。） </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w:t>
            </w:r>
            <w:r>
              <w:rPr>
                <w:rFonts w:ascii="FangSong" w:hAnsi="FangSong" w:eastAsia="FangSong" w:cs="FangSong"/>
                <w:b/>
                <w:color w:val="000000"/>
                <w:sz w:val="24"/>
              </w:rPr>
              <w:t xml:space="preserve">一轮评审结束后，采购代理机构或采购人代表将通过苏采云采购系统提示符合要求的投标供应商进行最终报价</w:t>
            </w:r>
            <w:r>
              <w:rPr>
                <w:rFonts w:ascii="Times New Roman" w:hAnsi="Times New Roman" w:eastAsia="Times New Roman" w:cs="Times New Roman"/>
                <w:b/>
                <w:color w:val="000000"/>
                <w:sz w:val="24"/>
              </w:rPr>
              <w:t xml:space="preserve">(</w:t>
            </w:r>
            <w:r>
              <w:rPr>
                <w:rFonts w:ascii="FangSong" w:hAnsi="FangSong" w:eastAsia="FangSong" w:cs="FangSong"/>
                <w:b/>
                <w:color w:val="000000"/>
                <w:sz w:val="24"/>
              </w:rPr>
              <w:t xml:space="preserve">二轮报价</w:t>
            </w:r>
            <w:r>
              <w:rPr>
                <w:rFonts w:ascii="Times New Roman" w:hAnsi="Times New Roman" w:eastAsia="Times New Roman" w:cs="Times New Roman"/>
                <w:b/>
                <w:color w:val="000000"/>
                <w:sz w:val="24"/>
              </w:rPr>
              <w:t xml:space="preserve">)</w:t>
            </w:r>
            <w:r>
              <w:rPr>
                <w:rFonts w:ascii="FangSong" w:hAnsi="FangSong" w:eastAsia="FangSong" w:cs="FangSong"/>
                <w:b/>
                <w:color w:val="000000"/>
                <w:sz w:val="24"/>
              </w:rPr>
              <w:t xml:space="preserve">，一轮评审的时长不确定，请投标供应商自行关注报价系统，在报价系统开启后的</w:t>
            </w:r>
            <w:r>
              <w:rPr>
                <w:rFonts w:ascii="Times New Roman" w:hAnsi="Times New Roman" w:eastAsia="Times New Roman" w:cs="Times New Roman"/>
                <w:b/>
                <w:color w:val="000000"/>
                <w:sz w:val="24"/>
              </w:rPr>
              <w:t xml:space="preserve">20</w:t>
            </w:r>
            <w:r>
              <w:rPr>
                <w:rFonts w:ascii="FangSong" w:hAnsi="FangSong" w:eastAsia="FangSong" w:cs="FangSong"/>
                <w:b/>
                <w:color w:val="000000"/>
                <w:sz w:val="24"/>
              </w:rPr>
              <w:t xml:space="preserve">分钟内提交最终报价</w:t>
            </w:r>
            <w:r>
              <w:rPr>
                <w:rFonts w:ascii="Times New Roman" w:hAnsi="Times New Roman" w:eastAsia="Times New Roman" w:cs="Times New Roman"/>
                <w:b/>
                <w:color w:val="000000"/>
                <w:sz w:val="24"/>
              </w:rPr>
              <w:t xml:space="preserve">(</w:t>
            </w:r>
            <w:r>
              <w:rPr>
                <w:rFonts w:ascii="FangSong" w:hAnsi="FangSong" w:eastAsia="FangSong" w:cs="FangSong"/>
                <w:b/>
                <w:color w:val="000000"/>
                <w:sz w:val="24"/>
              </w:rPr>
              <w:t xml:space="preserve">二轮报价</w:t>
            </w:r>
            <w:r>
              <w:rPr>
                <w:rFonts w:ascii="Times New Roman" w:hAnsi="Times New Roman" w:eastAsia="Times New Roman" w:cs="Times New Roman"/>
                <w:b/>
                <w:color w:val="000000"/>
                <w:sz w:val="24"/>
              </w:rPr>
              <w:t xml:space="preserve">)</w:t>
            </w:r>
            <w:r>
              <w:rPr>
                <w:rFonts w:ascii="FangSong" w:hAnsi="FangSong" w:eastAsia="FangSong" w:cs="FangSong"/>
                <w:b/>
                <w:color w:val="000000"/>
                <w:sz w:val="24"/>
              </w:rPr>
              <w:t xml:space="preserve">。未能在规定时间内完成报价的供应商视为放弃投标。</w:t>
            </w:r>
            <w:r/>
          </w:p>
          <w:p>
            <w:pPr>
              <w:ind w:left="0" w:right="0" w:firstLine="0"/>
              <w:jc w:val="both"/>
              <w:spacing w:before="300" w:after="120" w:line="45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供应商最终报价应在工程数量、要求、服务等方面不降低的情况下，不得高于前一次报价。否则，磋商小组有权拒绝该磋商报价并不再给予报价补救机会。</w:t>
            </w:r>
            <w:r/>
          </w:p>
        </w:tc>
      </w:tr>
      <w:tr>
        <w:trPr>
          <w:trHeight w:val="6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3"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5.1.1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竞争性磋商小组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98"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小组人数：</w:t>
            </w:r>
            <w:r>
              <w:rPr>
                <w:rFonts w:ascii="Times New Roman" w:hAnsi="Times New Roman" w:eastAsia="Times New Roman" w:cs="Times New Roman"/>
                <w:color w:val="000000"/>
                <w:sz w:val="24"/>
              </w:rPr>
              <w:t xml:space="preserve">3</w:t>
            </w:r>
            <w:r>
              <w:rPr>
                <w:rFonts w:ascii="FangSong" w:hAnsi="FangSong" w:eastAsia="FangSong" w:cs="FangSong"/>
                <w:color w:val="000000"/>
                <w:sz w:val="24"/>
              </w:rPr>
              <w:t xml:space="preserve">人</w:t>
            </w:r>
            <w:r/>
          </w:p>
        </w:tc>
      </w:tr>
      <w:tr>
        <w:trPr>
          <w:trHeight w:val="6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3"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7.1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4"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签订合同的</w:t>
            </w:r>
            <w:r/>
          </w:p>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时间要求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98"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自成交通知书发出之日起</w:t>
            </w:r>
            <w:r>
              <w:rPr>
                <w:rFonts w:ascii="Times New Roman" w:hAnsi="Times New Roman" w:eastAsia="Times New Roman" w:cs="Times New Roman"/>
                <w:color w:val="000000"/>
                <w:sz w:val="24"/>
              </w:rPr>
              <w:t xml:space="preserve">30</w:t>
            </w:r>
            <w:r>
              <w:rPr>
                <w:rFonts w:ascii="FangSong" w:hAnsi="FangSong" w:eastAsia="FangSong" w:cs="FangSong"/>
                <w:color w:val="000000"/>
                <w:sz w:val="24"/>
              </w:rPr>
              <w:t xml:space="preserve">日内。</w:t>
            </w:r>
            <w:r/>
          </w:p>
          <w:p>
            <w:pPr>
              <w:ind w:left="0" w:right="0" w:firstLine="0"/>
              <w:jc w:val="both"/>
              <w:spacing w:before="200" w:after="200" w:line="38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供应商须在领取成交通知书后</w:t>
            </w:r>
            <w:r>
              <w:rPr>
                <w:rFonts w:ascii="Times New Roman" w:hAnsi="Times New Roman" w:eastAsia="Times New Roman" w:cs="Times New Roman"/>
                <w:color w:val="000000"/>
                <w:sz w:val="24"/>
              </w:rPr>
              <w:t xml:space="preserve">30</w:t>
            </w:r>
            <w:r>
              <w:rPr>
                <w:rFonts w:ascii="FangSong" w:hAnsi="FangSong" w:eastAsia="FangSong" w:cs="FangSong"/>
                <w:color w:val="000000"/>
                <w:sz w:val="24"/>
              </w:rPr>
              <w:t xml:space="preserve">日内签订服务合同，合同签订后，未按照采购人的要求在规定的时间内委派相关人员履行合同的，甲方有权立即解除合同，由此产生的所有费用及损失由供应商承担。</w:t>
            </w:r>
            <w:r/>
          </w:p>
        </w:tc>
      </w:tr>
      <w:tr>
        <w:trPr>
          <w:trHeight w:val="5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3"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8.1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履约保证金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98" w:type="dxa"/>
            <w:vAlign w:val="center"/>
            <w:textDirection w:val="lrTb"/>
            <w:noWrap w:val="false"/>
          </w:tcPr>
          <w:p>
            <w:pPr>
              <w:ind w:left="0" w:right="0" w:firstLine="0"/>
              <w:spacing w:before="200" w:after="20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无</w:t>
            </w:r>
            <w:r/>
          </w:p>
        </w:tc>
      </w:tr>
      <w:tr>
        <w:trPr>
          <w:trHeight w:val="5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3"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9</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7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需要补充的其他内容</w:t>
            </w:r>
            <w:r/>
          </w:p>
        </w:tc>
      </w:tr>
      <w:tr>
        <w:trPr>
          <w:trHeight w:val="8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3"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9.1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质疑和投诉</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898"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按照《政府采购质疑和投诉办法》（财政部第</w:t>
            </w:r>
            <w:r>
              <w:rPr>
                <w:rFonts w:ascii="Times New Roman" w:hAnsi="Times New Roman" w:eastAsia="Times New Roman" w:cs="Times New Roman"/>
                <w:color w:val="000000"/>
                <w:sz w:val="24"/>
              </w:rPr>
              <w:t xml:space="preserve">94</w:t>
            </w:r>
            <w:r>
              <w:rPr>
                <w:rFonts w:ascii="FangSong" w:hAnsi="FangSong" w:eastAsia="FangSong" w:cs="FangSong"/>
                <w:color w:val="000000"/>
                <w:sz w:val="24"/>
              </w:rPr>
              <w:t xml:space="preserve">号令）处理</w:t>
            </w:r>
            <w:r/>
          </w:p>
        </w:tc>
      </w:tr>
      <w:tr>
        <w:trPr>
          <w:trHeight w:val="49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3"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9.2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文件的解释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98"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由采购人负责</w:t>
            </w:r>
            <w:r/>
          </w:p>
        </w:tc>
      </w:tr>
      <w:tr>
        <w:trPr>
          <w:trHeight w:val="7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3"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9.3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其他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98" w:type="dxa"/>
            <w:vAlign w:val="center"/>
            <w:textDirection w:val="lrTb"/>
            <w:noWrap w:val="false"/>
          </w:tcPr>
          <w:p>
            <w:pPr>
              <w:numPr>
                <w:ilvl w:val="0"/>
                <w:numId w:val="11"/>
              </w:numPr>
              <w:jc w:val="both"/>
              <w:spacing w:before="200" w:after="200" w:line="380" w:lineRule="atLeast"/>
              <w:tabs>
                <w:tab w:val="left" w:pos="3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本项目代理服务费由成交人在领取成交通知书前代付。采购代理服务费收费标准：本项目招标代理费一标段按15000元收取，二标段按8000元收取；评审费按苏财购〔</w:t>
            </w:r>
            <w:r>
              <w:rPr>
                <w:rFonts w:ascii="Times New Roman" w:hAnsi="Times New Roman" w:eastAsia="Times New Roman" w:cs="Times New Roman"/>
                <w:color w:val="000000"/>
                <w:sz w:val="24"/>
              </w:rPr>
              <w:t xml:space="preserve">2016</w:t>
            </w:r>
            <w:r>
              <w:rPr>
                <w:rFonts w:ascii="FangSong" w:hAnsi="FangSong" w:eastAsia="FangSong" w:cs="FangSong"/>
                <w:color w:val="000000"/>
                <w:sz w:val="24"/>
              </w:rPr>
              <w:t xml:space="preserve">〕</w:t>
            </w:r>
            <w:r>
              <w:rPr>
                <w:rFonts w:ascii="Times New Roman" w:hAnsi="Times New Roman" w:eastAsia="Times New Roman" w:cs="Times New Roman"/>
                <w:color w:val="000000"/>
                <w:sz w:val="24"/>
              </w:rPr>
              <w:t xml:space="preserve">48</w:t>
            </w:r>
            <w:r>
              <w:rPr>
                <w:rFonts w:ascii="FangSong" w:hAnsi="FangSong" w:eastAsia="FangSong" w:cs="FangSong"/>
                <w:color w:val="000000"/>
                <w:sz w:val="24"/>
              </w:rPr>
              <w:t xml:space="preserve">号规定，外加路费补贴。</w:t>
            </w:r>
            <w:r/>
          </w:p>
          <w:p>
            <w:pPr>
              <w:numPr>
                <w:ilvl w:val="0"/>
                <w:numId w:val="11"/>
              </w:numPr>
              <w:jc w:val="both"/>
              <w:spacing w:before="200" w:after="200" w:line="380" w:lineRule="atLeast"/>
              <w:tabs>
                <w:tab w:val="left" w:pos="3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各供应商应慎重报价，不得恶意降价，若中标候选人因报价过低放弃中标或不能履约等，采购人将上报监管部门，进行不良行为公示。</w:t>
            </w:r>
            <w:r/>
          </w:p>
          <w:p>
            <w:pPr>
              <w:numPr>
                <w:ilvl w:val="0"/>
                <w:numId w:val="11"/>
              </w:numPr>
              <w:jc w:val="both"/>
              <w:spacing w:before="200" w:after="200" w:line="380" w:lineRule="atLeast"/>
              <w:tabs>
                <w:tab w:val="left" w:pos="3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企业类型（小型、微型）的判定可参照《关于印发中小企业划型标准规定的通知》（工信部联企业【</w:t>
            </w:r>
            <w:r>
              <w:rPr>
                <w:rFonts w:ascii="Times New Roman" w:hAnsi="Times New Roman" w:eastAsia="Times New Roman" w:cs="Times New Roman"/>
                <w:b/>
                <w:color w:val="000000"/>
                <w:sz w:val="24"/>
              </w:rPr>
              <w:t xml:space="preserve">2011</w:t>
            </w:r>
            <w:r>
              <w:rPr>
                <w:rFonts w:ascii="FangSong" w:hAnsi="FangSong" w:eastAsia="FangSong" w:cs="FangSong"/>
                <w:b/>
                <w:color w:val="000000"/>
                <w:sz w:val="24"/>
              </w:rPr>
              <w:t xml:space="preserve">】</w:t>
            </w:r>
            <w:r>
              <w:rPr>
                <w:rFonts w:ascii="Times New Roman" w:hAnsi="Times New Roman" w:eastAsia="Times New Roman" w:cs="Times New Roman"/>
                <w:b/>
                <w:color w:val="000000"/>
                <w:sz w:val="24"/>
              </w:rPr>
              <w:t xml:space="preserve">300</w:t>
            </w:r>
            <w:r>
              <w:rPr>
                <w:rFonts w:ascii="FangSong" w:hAnsi="FangSong" w:eastAsia="FangSong" w:cs="FangSong"/>
                <w:b/>
                <w:color w:val="000000"/>
                <w:sz w:val="24"/>
              </w:rPr>
              <w:t xml:space="preserve">号）文件，本项目所属行业为人力资源服务行业。</w:t>
            </w:r>
            <w:r/>
          </w:p>
        </w:tc>
      </w:tr>
    </w:tbl>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1.</w:t>
      </w:r>
      <w:r>
        <w:rPr>
          <w:rFonts w:ascii="SimHei" w:hAnsi="SimHei" w:eastAsia="SimHei" w:cs="SimHei"/>
          <w:b/>
          <w:color w:val="000000"/>
          <w:sz w:val="32"/>
        </w:rPr>
        <w:t xml:space="preserve">总则</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1.1</w:t>
      </w:r>
      <w:r>
        <w:rPr>
          <w:rFonts w:ascii="KaiTi" w:hAnsi="KaiTi" w:eastAsia="KaiTi" w:cs="KaiTi"/>
          <w:b/>
          <w:color w:val="000000"/>
          <w:sz w:val="28"/>
        </w:rPr>
        <w:t xml:space="preserve">项目概况</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1.1.1</w:t>
      </w:r>
      <w:r>
        <w:rPr>
          <w:rFonts w:ascii="FangSong" w:hAnsi="FangSong" w:eastAsia="FangSong" w:cs="FangSong"/>
          <w:color w:val="000000"/>
          <w:sz w:val="28"/>
        </w:rPr>
        <w:t xml:space="preserve">根据《中华人民共和国政府采购法》《中华人民共和国政府采购法实施条例》等有关法律、法规和规章的规定，本采购项目已具备采购条件，现对本项目进行竞争性磋商采购。</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1.1.2</w:t>
      </w:r>
      <w:r>
        <w:rPr>
          <w:rFonts w:ascii="FangSong" w:hAnsi="FangSong" w:eastAsia="FangSong" w:cs="FangSong"/>
          <w:color w:val="000000"/>
          <w:sz w:val="28"/>
        </w:rPr>
        <w:t xml:space="preserve">采购人：见供应商须知前附表。</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1.1.3</w:t>
      </w:r>
      <w:r>
        <w:rPr>
          <w:rFonts w:ascii="FangSong" w:hAnsi="FangSong" w:eastAsia="FangSong" w:cs="FangSong"/>
          <w:color w:val="000000"/>
          <w:sz w:val="28"/>
        </w:rPr>
        <w:t xml:space="preserve">采购代理机构：见供应商须知前附表。</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1.1.4</w:t>
      </w:r>
      <w:r>
        <w:rPr>
          <w:rFonts w:ascii="FangSong" w:hAnsi="FangSong" w:eastAsia="FangSong" w:cs="FangSong"/>
          <w:color w:val="000000"/>
          <w:sz w:val="28"/>
        </w:rPr>
        <w:t xml:space="preserve">项目名称及项目编号：见供应商须知前附表。</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1.2</w:t>
      </w:r>
      <w:r>
        <w:rPr>
          <w:rFonts w:ascii="KaiTi" w:hAnsi="KaiTi" w:eastAsia="KaiTi" w:cs="KaiTi"/>
          <w:b/>
          <w:color w:val="000000"/>
          <w:sz w:val="28"/>
        </w:rPr>
        <w:t xml:space="preserve">付款方式</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1.2.1</w:t>
      </w:r>
      <w:r>
        <w:rPr>
          <w:rFonts w:ascii="FangSong" w:hAnsi="FangSong" w:eastAsia="FangSong" w:cs="FangSong"/>
          <w:color w:val="000000"/>
          <w:sz w:val="28"/>
        </w:rPr>
        <w:t xml:space="preserve">付款方式：见供应商须知前附表。</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1.3</w:t>
      </w:r>
      <w:r>
        <w:rPr>
          <w:rFonts w:ascii="KaiTi" w:hAnsi="KaiTi" w:eastAsia="KaiTi" w:cs="KaiTi"/>
          <w:b/>
          <w:color w:val="000000"/>
          <w:sz w:val="28"/>
        </w:rPr>
        <w:t xml:space="preserve">采购范围与合同履行期限</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1.3.1</w:t>
      </w:r>
      <w:r>
        <w:rPr>
          <w:rFonts w:ascii="FangSong" w:hAnsi="FangSong" w:eastAsia="FangSong" w:cs="FangSong"/>
          <w:color w:val="000000"/>
          <w:sz w:val="28"/>
        </w:rPr>
        <w:t xml:space="preserve">采购范围：见供应商须知前附表。</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1.3.2</w:t>
      </w:r>
      <w:r>
        <w:rPr>
          <w:rFonts w:ascii="FangSong" w:hAnsi="FangSong" w:eastAsia="FangSong" w:cs="FangSong"/>
          <w:color w:val="000000"/>
          <w:sz w:val="28"/>
        </w:rPr>
        <w:t xml:space="preserve">合同履行期限：见供应商须知前附表。</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1.4</w:t>
      </w:r>
      <w:r>
        <w:rPr>
          <w:rFonts w:ascii="KaiTi" w:hAnsi="KaiTi" w:eastAsia="KaiTi" w:cs="KaiTi"/>
          <w:b/>
          <w:color w:val="000000"/>
          <w:sz w:val="28"/>
        </w:rPr>
        <w:t xml:space="preserve">供应商资格要求</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1.4.1</w:t>
      </w:r>
      <w:r>
        <w:rPr>
          <w:rFonts w:ascii="FangSong" w:hAnsi="FangSong" w:eastAsia="FangSong" w:cs="FangSong"/>
          <w:color w:val="000000"/>
          <w:sz w:val="28"/>
        </w:rPr>
        <w:t xml:space="preserve">供应商参加政府采购活动应当具备下列条件：</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）具有独立承担民事责任的能力；</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）具有良好的商业信誉和健全的财务会计制度；</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）具有履行合同所必需的设备和专业技术能力；</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4</w:t>
      </w:r>
      <w:r>
        <w:rPr>
          <w:rFonts w:ascii="FangSong" w:hAnsi="FangSong" w:eastAsia="FangSong" w:cs="FangSong"/>
          <w:color w:val="000000"/>
          <w:sz w:val="28"/>
        </w:rPr>
        <w:t xml:space="preserve">）有依法缴纳税收和社会保障资金的良好记录；</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5</w:t>
      </w:r>
      <w:r>
        <w:rPr>
          <w:rFonts w:ascii="FangSong" w:hAnsi="FangSong" w:eastAsia="FangSong" w:cs="FangSong"/>
          <w:color w:val="000000"/>
          <w:sz w:val="28"/>
        </w:rPr>
        <w:t xml:space="preserve">）参加政府采购活动前三年内，在经营活动中没有重大违法记录；</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6</w:t>
      </w:r>
      <w:r>
        <w:rPr>
          <w:rFonts w:ascii="FangSong" w:hAnsi="FangSong" w:eastAsia="FangSong" w:cs="FangSong"/>
          <w:color w:val="000000"/>
          <w:sz w:val="28"/>
        </w:rPr>
        <w:t xml:space="preserve">）法律、行政法规规定的其他条件。</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1.4.2</w:t>
      </w:r>
      <w:r>
        <w:rPr>
          <w:rFonts w:ascii="FangSong" w:hAnsi="FangSong" w:eastAsia="FangSong" w:cs="FangSong"/>
          <w:color w:val="000000"/>
          <w:sz w:val="28"/>
        </w:rPr>
        <w:t xml:space="preserve">根据采购项目特殊要求，要求供应商具备的特定条件：见供应商须知前附表。</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1.4.3</w:t>
      </w:r>
      <w:r>
        <w:rPr>
          <w:rFonts w:ascii="FangSong" w:hAnsi="FangSong" w:eastAsia="FangSong" w:cs="FangSong"/>
          <w:color w:val="000000"/>
          <w:sz w:val="28"/>
        </w:rPr>
        <w:t xml:space="preserve">供应商不得存在下列情形之一：</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）与采购人或采购代理机构存在隶属关系或者其他利害关系；</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）为采购项目提供了整体设计、规范编制或者项目管理、监理、检测等服务；</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）单位负责人为同一人或者存在直接控股、管理关系的不同供应商，参加同一合同项下的政府采购活动；</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4</w:t>
      </w:r>
      <w:r>
        <w:rPr>
          <w:rFonts w:ascii="FangSong" w:hAnsi="FangSong" w:eastAsia="FangSong" w:cs="FangSong"/>
          <w:color w:val="000000"/>
          <w:sz w:val="28"/>
        </w:rPr>
        <w:t xml:space="preserve">）以联合体形式参加政府采购活动的，联合体各方再单独参加或者与其他供应商另外组成联合体参加同一合同项下的政府采购活动；</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5</w:t>
      </w:r>
      <w:r>
        <w:rPr>
          <w:rFonts w:ascii="FangSong" w:hAnsi="FangSong" w:eastAsia="FangSong" w:cs="FangSong"/>
          <w:color w:val="000000"/>
          <w:sz w:val="28"/>
        </w:rPr>
        <w:t xml:space="preserve">）法律、行政法规规定的其他条件。</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1.5</w:t>
      </w:r>
      <w:r>
        <w:rPr>
          <w:rFonts w:ascii="KaiTi" w:hAnsi="KaiTi" w:eastAsia="KaiTi" w:cs="KaiTi"/>
          <w:b/>
          <w:color w:val="000000"/>
          <w:sz w:val="28"/>
        </w:rPr>
        <w:t xml:space="preserve">费用承担</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无论采购结果如何，供应商为准备和参加采购活动发生的费用自理。</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1.6</w:t>
      </w:r>
      <w:r>
        <w:rPr>
          <w:rFonts w:ascii="KaiTi" w:hAnsi="KaiTi" w:eastAsia="KaiTi" w:cs="KaiTi"/>
          <w:b/>
          <w:color w:val="000000"/>
          <w:sz w:val="28"/>
        </w:rPr>
        <w:t xml:space="preserve">语言文字</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响应文件使用的语言文字为中文。专用术语使用外文的，应附有中文注释。</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1.7</w:t>
      </w:r>
      <w:r>
        <w:rPr>
          <w:rFonts w:ascii="KaiTi" w:hAnsi="KaiTi" w:eastAsia="KaiTi" w:cs="KaiTi"/>
          <w:b/>
          <w:color w:val="000000"/>
          <w:sz w:val="28"/>
        </w:rPr>
        <w:t xml:space="preserve">计量单位</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所有计量均采用中华人民共和国法定计量单位。</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2.</w:t>
      </w:r>
      <w:r>
        <w:rPr>
          <w:rFonts w:ascii="SimHei" w:hAnsi="SimHei" w:eastAsia="SimHei" w:cs="SimHei"/>
          <w:b/>
          <w:color w:val="000000"/>
          <w:sz w:val="32"/>
        </w:rPr>
        <w:t xml:space="preserve">竞争性磋商文件</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2.1</w:t>
      </w:r>
      <w:r>
        <w:rPr>
          <w:rFonts w:ascii="KaiTi" w:hAnsi="KaiTi" w:eastAsia="KaiTi" w:cs="KaiTi"/>
          <w:b/>
          <w:color w:val="000000"/>
          <w:sz w:val="28"/>
        </w:rPr>
        <w:t xml:space="preserve">竞争性磋商文件的组成</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2.1.1</w:t>
      </w:r>
      <w:r>
        <w:rPr>
          <w:rFonts w:ascii="FangSong" w:hAnsi="FangSong" w:eastAsia="FangSong" w:cs="FangSong"/>
          <w:color w:val="000000"/>
          <w:sz w:val="28"/>
        </w:rPr>
        <w:t xml:space="preserve">本竞争性磋商文件包括：</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）竞争性磋商公告；</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）供应商须知；</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）竞争性磋商；</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4</w:t>
      </w:r>
      <w:r>
        <w:rPr>
          <w:rFonts w:ascii="FangSong" w:hAnsi="FangSong" w:eastAsia="FangSong" w:cs="FangSong"/>
          <w:color w:val="000000"/>
          <w:sz w:val="28"/>
        </w:rPr>
        <w:t xml:space="preserve">）合同条款及格式；</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5</w:t>
      </w:r>
      <w:r>
        <w:rPr>
          <w:rFonts w:ascii="FangSong" w:hAnsi="FangSong" w:eastAsia="FangSong" w:cs="FangSong"/>
          <w:color w:val="000000"/>
          <w:sz w:val="28"/>
        </w:rPr>
        <w:t xml:space="preserve">）采购需求；</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6</w:t>
      </w:r>
      <w:r>
        <w:rPr>
          <w:rFonts w:ascii="FangSong" w:hAnsi="FangSong" w:eastAsia="FangSong" w:cs="FangSong"/>
          <w:color w:val="000000"/>
          <w:sz w:val="28"/>
        </w:rPr>
        <w:t xml:space="preserve">）响应文件的编制要求及参考格式；</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7</w:t>
      </w:r>
      <w:r>
        <w:rPr>
          <w:rFonts w:ascii="FangSong" w:hAnsi="FangSong" w:eastAsia="FangSong" w:cs="FangSong"/>
          <w:color w:val="000000"/>
          <w:sz w:val="28"/>
        </w:rPr>
        <w:t xml:space="preserve">）供应商须知前附表规定的构成竞争性磋商文件的其他材料。</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2.1.2</w:t>
      </w:r>
      <w:r>
        <w:rPr>
          <w:rFonts w:ascii="FangSong" w:hAnsi="FangSong" w:eastAsia="FangSong" w:cs="FangSong"/>
          <w:color w:val="000000"/>
          <w:sz w:val="28"/>
        </w:rPr>
        <w:t xml:space="preserve">根据本章第</w:t>
      </w:r>
      <w:r>
        <w:rPr>
          <w:rFonts w:ascii="Times New Roman" w:hAnsi="Times New Roman" w:eastAsia="Times New Roman" w:cs="Times New Roman"/>
          <w:color w:val="000000"/>
          <w:sz w:val="28"/>
        </w:rPr>
        <w:t xml:space="preserve">2.2</w:t>
      </w:r>
      <w:r>
        <w:rPr>
          <w:rFonts w:ascii="FangSong" w:hAnsi="FangSong" w:eastAsia="FangSong" w:cs="FangSong"/>
          <w:color w:val="000000"/>
          <w:sz w:val="28"/>
        </w:rPr>
        <w:t xml:space="preserve">款和第</w:t>
      </w:r>
      <w:r>
        <w:rPr>
          <w:rFonts w:ascii="Times New Roman" w:hAnsi="Times New Roman" w:eastAsia="Times New Roman" w:cs="Times New Roman"/>
          <w:color w:val="000000"/>
          <w:sz w:val="28"/>
        </w:rPr>
        <w:t xml:space="preserve">2.3</w:t>
      </w:r>
      <w:r>
        <w:rPr>
          <w:rFonts w:ascii="FangSong" w:hAnsi="FangSong" w:eastAsia="FangSong" w:cs="FangSong"/>
          <w:color w:val="000000"/>
          <w:sz w:val="28"/>
        </w:rPr>
        <w:t xml:space="preserve">款对竞争性磋商文件所作的澄清、修改，构成竞争性磋商文件的组成部分。</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2.2</w:t>
      </w:r>
      <w:r>
        <w:rPr>
          <w:rFonts w:ascii="KaiTi" w:hAnsi="KaiTi" w:eastAsia="KaiTi" w:cs="KaiTi"/>
          <w:b/>
          <w:color w:val="000000"/>
          <w:sz w:val="28"/>
        </w:rPr>
        <w:t xml:space="preserve">竞争性磋商文件的澄清</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供应商应仔细阅读和检查竞争性磋商文件的全部内容。如发现缺页或附件不全，应及时向采购人或采购代理机构提出，以便补齐。如有疑问，应在供应商须知前附表规定的时间前，要求采购人或采购代理机构对竞争性磋商文件予以澄清。</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竞争性磋商文件的澄清将在提交首次响应文件截止时间</w:t>
      </w:r>
      <w:r>
        <w:rPr>
          <w:rFonts w:ascii="Times New Roman" w:hAnsi="Times New Roman" w:eastAsia="Times New Roman" w:cs="Times New Roman"/>
          <w:color w:val="000000"/>
          <w:sz w:val="28"/>
        </w:rPr>
        <w:t xml:space="preserve">5</w:t>
      </w:r>
      <w:r>
        <w:rPr>
          <w:rFonts w:ascii="FangSong" w:hAnsi="FangSong" w:eastAsia="FangSong" w:cs="FangSong"/>
          <w:color w:val="000000"/>
          <w:sz w:val="28"/>
        </w:rPr>
        <w:t xml:space="preserve">日前在原公告信息发布媒体公开发布</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但不指明问题的来源。如果澄清发布的时间距提交首次响应文件截止时间不足</w:t>
      </w:r>
      <w:r>
        <w:rPr>
          <w:rFonts w:ascii="Times New Roman" w:hAnsi="Times New Roman" w:eastAsia="Times New Roman" w:cs="Times New Roman"/>
          <w:color w:val="000000"/>
          <w:sz w:val="28"/>
        </w:rPr>
        <w:t xml:space="preserve">5</w:t>
      </w:r>
      <w:r>
        <w:rPr>
          <w:rFonts w:ascii="FangSong" w:hAnsi="FangSong" w:eastAsia="FangSong" w:cs="FangSong"/>
          <w:color w:val="000000"/>
          <w:sz w:val="28"/>
        </w:rPr>
        <w:t xml:space="preserve">日，并且澄清内容影响响应文件编制的，将相应延长提交首次响应文件截止时间。</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2.3</w:t>
      </w:r>
      <w:r>
        <w:rPr>
          <w:rFonts w:ascii="KaiTi" w:hAnsi="KaiTi" w:eastAsia="KaiTi" w:cs="KaiTi"/>
          <w:b/>
          <w:color w:val="000000"/>
          <w:sz w:val="28"/>
        </w:rPr>
        <w:t xml:space="preserve">竞争性磋商文件的修改</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采购人可以对已发出的竞争性磋商文件进行必要的修改，修改后的内容是竞争性磋商文件的组成部分，并将在原公告信息发布媒体公开发布。如果修改竞争性磋商文件的时间距提交首次响应文件截止时间不足</w:t>
      </w:r>
      <w:r>
        <w:rPr>
          <w:rFonts w:ascii="Times New Roman" w:hAnsi="Times New Roman" w:eastAsia="Times New Roman" w:cs="Times New Roman"/>
          <w:color w:val="000000"/>
          <w:sz w:val="28"/>
        </w:rPr>
        <w:t xml:space="preserve">5</w:t>
      </w:r>
      <w:r>
        <w:rPr>
          <w:rFonts w:ascii="FangSong" w:hAnsi="FangSong" w:eastAsia="FangSong" w:cs="FangSong"/>
          <w:color w:val="000000"/>
          <w:sz w:val="28"/>
        </w:rPr>
        <w:t xml:space="preserve">日，并且修改内容影响响应文件编制的，将相应延长提交首次响应文件截止时间。</w:t>
      </w:r>
      <w:r/>
    </w:p>
    <w:p>
      <w:pPr>
        <w:ind w:left="0" w:right="0" w:firstLine="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2.4</w:t>
      </w:r>
      <w:r>
        <w:rPr>
          <w:rFonts w:ascii="KaiTi" w:hAnsi="KaiTi" w:eastAsia="KaiTi" w:cs="KaiTi"/>
          <w:b/>
          <w:color w:val="000000"/>
          <w:sz w:val="28"/>
        </w:rPr>
        <w:t xml:space="preserve">竞争性磋商文件的重新发布</w:t>
      </w:r>
      <w:r/>
    </w:p>
    <w:p>
      <w:pPr>
        <w:ind w:left="0" w:right="0" w:firstLine="560"/>
        <w:jc w:val="both"/>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竞争性磋商文件的澄清或修改涉及到申请人的资格条件、采购标的等实质性内容时，将重新发布竞争性磋商公告。</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3.</w:t>
      </w:r>
      <w:r>
        <w:rPr>
          <w:rFonts w:ascii="SimHei" w:hAnsi="SimHei" w:eastAsia="SimHei" w:cs="SimHei"/>
          <w:b/>
          <w:color w:val="000000"/>
          <w:sz w:val="32"/>
        </w:rPr>
        <w:t xml:space="preserve">响应文件</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3.1</w:t>
      </w:r>
      <w:r>
        <w:rPr>
          <w:rFonts w:ascii="KaiTi" w:hAnsi="KaiTi" w:eastAsia="KaiTi" w:cs="KaiTi"/>
          <w:b/>
          <w:color w:val="000000"/>
          <w:sz w:val="28"/>
        </w:rPr>
        <w:t xml:space="preserve">响应文件的组成</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响应文件的组成：见供应商须知前附表。</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3.2</w:t>
      </w:r>
      <w:r>
        <w:rPr>
          <w:rFonts w:ascii="KaiTi" w:hAnsi="KaiTi" w:eastAsia="KaiTi" w:cs="KaiTi"/>
          <w:b/>
          <w:color w:val="000000"/>
          <w:sz w:val="28"/>
        </w:rPr>
        <w:t xml:space="preserve">报价</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3.2.1</w:t>
      </w:r>
      <w:r>
        <w:rPr>
          <w:rFonts w:ascii="FangSong" w:hAnsi="FangSong" w:eastAsia="FangSong" w:cs="FangSong"/>
          <w:color w:val="000000"/>
          <w:sz w:val="28"/>
        </w:rPr>
        <w:t xml:space="preserve">供应商应按竞争性磋商小组经过谈判后提供的竞争性磋商文件中规定的供货及服务要求、责任范围和合同条件，以人民币进行报价。</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3.2.2</w:t>
      </w:r>
      <w:r>
        <w:rPr>
          <w:rFonts w:ascii="FangSong" w:hAnsi="FangSong" w:eastAsia="FangSong" w:cs="FangSong"/>
          <w:color w:val="000000"/>
          <w:sz w:val="28"/>
        </w:rPr>
        <w:t xml:space="preserve">供应商须按竞争性磋商小组的要求在规定的时间内提交最后报价。</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3.2.3</w:t>
      </w:r>
      <w:r>
        <w:rPr>
          <w:rFonts w:ascii="FangSong" w:hAnsi="FangSong" w:eastAsia="FangSong" w:cs="FangSong"/>
          <w:color w:val="000000"/>
          <w:sz w:val="28"/>
        </w:rPr>
        <w:t xml:space="preserve">报价的其他要求：见供应商须知前附表。</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3.3</w:t>
      </w:r>
      <w:r>
        <w:rPr>
          <w:rFonts w:ascii="KaiTi" w:hAnsi="KaiTi" w:eastAsia="KaiTi" w:cs="KaiTi"/>
          <w:b/>
          <w:color w:val="000000"/>
          <w:sz w:val="28"/>
        </w:rPr>
        <w:t xml:space="preserve">响应文件的编制</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3.3.1</w:t>
      </w:r>
      <w:r>
        <w:rPr>
          <w:rFonts w:ascii="FangSong" w:hAnsi="FangSong" w:eastAsia="FangSong" w:cs="FangSong"/>
          <w:color w:val="000000"/>
          <w:sz w:val="28"/>
        </w:rPr>
        <w:t xml:space="preserve">供应商可以按照第六章“响应文件的编制要求及参考格式”要求编制响应文件。需另行增加的相关内容和材料应编入响应文件相应章节，作为响应文件的组成部分。</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3.3.2</w:t>
      </w:r>
      <w:r>
        <w:rPr>
          <w:rFonts w:ascii="FangSong" w:hAnsi="FangSong" w:eastAsia="FangSong" w:cs="FangSong"/>
          <w:color w:val="000000"/>
          <w:sz w:val="28"/>
        </w:rPr>
        <w:t xml:space="preserve">供应商应对竞争性磋商文件中的资格要求、合同履行期限、技术、服务标准和要求等内容作出响应，并根据评审因素提供相应的证明材料。</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3.3.3</w:t>
      </w:r>
      <w:r>
        <w:rPr>
          <w:rFonts w:ascii="FangSong" w:hAnsi="FangSong" w:eastAsia="FangSong" w:cs="FangSong"/>
          <w:color w:val="000000"/>
          <w:sz w:val="28"/>
        </w:rPr>
        <w:t xml:space="preserve">响应文件的数量：见供应商须知前附表。</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3.3.4</w:t>
      </w:r>
      <w:r>
        <w:rPr>
          <w:rFonts w:ascii="FangSong" w:hAnsi="FangSong" w:eastAsia="FangSong" w:cs="FangSong"/>
          <w:color w:val="000000"/>
          <w:sz w:val="28"/>
        </w:rPr>
        <w:t xml:space="preserve">响应文件的签署：见供应商须知前附表。</w:t>
      </w:r>
      <w:r/>
    </w:p>
    <w:p>
      <w:pPr>
        <w:ind w:left="0" w:right="0" w:firstLine="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3.4</w:t>
      </w:r>
      <w:r>
        <w:rPr>
          <w:rFonts w:ascii="KaiTi" w:hAnsi="KaiTi" w:eastAsia="KaiTi" w:cs="KaiTi"/>
          <w:b/>
          <w:color w:val="000000"/>
          <w:sz w:val="28"/>
        </w:rPr>
        <w:t xml:space="preserve">响应文件的递交</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供应商应充分考虑网络及系统平台可能存在的非正常情况等各种风险因素，在规定的提交首次响应文件截止时间前，通过江苏省政府采购管理交易系统（苏采云），完成响应文件的上传。</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3.5</w:t>
      </w:r>
      <w:r>
        <w:rPr>
          <w:rFonts w:ascii="KaiTi" w:hAnsi="KaiTi" w:eastAsia="KaiTi" w:cs="KaiTi"/>
          <w:b/>
          <w:color w:val="000000"/>
          <w:sz w:val="28"/>
        </w:rPr>
        <w:t xml:space="preserve">响应文件的修改与撤回</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在提交首次响应文件截止时间前，供应商可以修改或撤回已递交的响应文件。修改的响应文件应按照本竞争性磋商文件规定进行编制和重新提交。</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3.6</w:t>
      </w:r>
      <w:r>
        <w:rPr>
          <w:rFonts w:ascii="KaiTi" w:hAnsi="KaiTi" w:eastAsia="KaiTi" w:cs="KaiTi"/>
          <w:b/>
          <w:color w:val="000000"/>
          <w:sz w:val="28"/>
        </w:rPr>
        <w:t xml:space="preserve">响应文件的确认</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供应商可以通过江苏省政府采购管理交易系统（苏采云）多次上传响应文件，以规定的提交首次响应文件截止时间前，江苏省政府采购管理交易系统（苏采云）接受到的最后一份响应文件为准。</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3.7</w:t>
      </w:r>
      <w:r>
        <w:rPr>
          <w:rFonts w:ascii="KaiTi" w:hAnsi="KaiTi" w:eastAsia="KaiTi" w:cs="KaiTi"/>
          <w:b/>
          <w:color w:val="000000"/>
          <w:sz w:val="28"/>
        </w:rPr>
        <w:t xml:space="preserve">响应文件的拒收</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在规定的提交首次响应文件截止时间后，江苏省政府采购管理交易系统（苏采云）将不再接受响应文件的上传。</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4.</w:t>
      </w:r>
      <w:r>
        <w:rPr>
          <w:rFonts w:ascii="SimHei" w:hAnsi="SimHei" w:eastAsia="SimHei" w:cs="SimHei"/>
          <w:b/>
          <w:color w:val="000000"/>
          <w:sz w:val="32"/>
        </w:rPr>
        <w:t xml:space="preserve">响应文件的开启</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4.1</w:t>
      </w:r>
      <w:r>
        <w:rPr>
          <w:rFonts w:ascii="KaiTi" w:hAnsi="KaiTi" w:eastAsia="KaiTi" w:cs="KaiTi"/>
          <w:b/>
          <w:color w:val="000000"/>
          <w:sz w:val="28"/>
        </w:rPr>
        <w:t xml:space="preserve">响应文件的开启</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响应文件的开启将在“苏采云”系统“开标大厅”内公开进行，供应商应当按照《江苏省政府采购管理交易系统（苏采云）供应商操作手册》规定参加，并在规定的时间内解密响应文件。</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4.2</w:t>
      </w:r>
      <w:r>
        <w:rPr>
          <w:rFonts w:ascii="KaiTi" w:hAnsi="KaiTi" w:eastAsia="KaiTi" w:cs="KaiTi"/>
          <w:b/>
          <w:color w:val="000000"/>
          <w:sz w:val="28"/>
        </w:rPr>
        <w:t xml:space="preserve">特殊情况的处置</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4.2.1</w:t>
      </w:r>
      <w:r>
        <w:rPr>
          <w:rFonts w:ascii="FangSong" w:hAnsi="FangSong" w:eastAsia="FangSong" w:cs="FangSong"/>
          <w:color w:val="000000"/>
          <w:sz w:val="28"/>
        </w:rPr>
        <w:t xml:space="preserve">在提交响应文件截止时间后，不见面开标系统出现下列情况之一时，响应文件未开启的，暂停开启活动；正在开启的，立即暂停，待系统恢复正常后再组织。</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）系统服务器发生故障，无法访问或无法使用系统；</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）系统的软件或数据库出现错误，不能进行正常操作；</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）系统发现有安全漏洞，有潜在的泄密危险；</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4</w:t>
      </w:r>
      <w:r>
        <w:rPr>
          <w:rFonts w:ascii="FangSong" w:hAnsi="FangSong" w:eastAsia="FangSong" w:cs="FangSong"/>
          <w:color w:val="000000"/>
          <w:sz w:val="28"/>
        </w:rPr>
        <w:t xml:space="preserve">）其他无法保证信息安全的情形。</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4.2.2</w:t>
      </w:r>
      <w:r>
        <w:rPr>
          <w:rFonts w:ascii="FangSong" w:hAnsi="FangSong" w:eastAsia="FangSong" w:cs="FangSong"/>
          <w:color w:val="000000"/>
          <w:sz w:val="28"/>
        </w:rPr>
        <w:t xml:space="preserve">因供应商自身原因造成响应文件无法解密的，视为撤销响应文件。</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4.2.3</w:t>
      </w:r>
      <w:r>
        <w:rPr>
          <w:rFonts w:ascii="FangSong" w:hAnsi="FangSong" w:eastAsia="FangSong" w:cs="FangSong"/>
          <w:color w:val="000000"/>
          <w:sz w:val="28"/>
        </w:rPr>
        <w:t xml:space="preserve">供应商对响应文件开启活动或开启结果等有疑义的，可向采购人提出。</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4.2.4</w:t>
      </w:r>
      <w:r>
        <w:rPr>
          <w:rFonts w:ascii="FangSong" w:hAnsi="FangSong" w:eastAsia="FangSong" w:cs="FangSong"/>
          <w:color w:val="000000"/>
          <w:sz w:val="28"/>
        </w:rPr>
        <w:t xml:space="preserve">供应商未在系统中确认开启结果的，视同认可开启结果。</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5.</w:t>
      </w:r>
      <w:r>
        <w:rPr>
          <w:rFonts w:ascii="SimHei" w:hAnsi="SimHei" w:eastAsia="SimHei" w:cs="SimHei"/>
          <w:b/>
          <w:color w:val="000000"/>
          <w:sz w:val="32"/>
        </w:rPr>
        <w:t xml:space="preserve">响应文件的评审</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5.1</w:t>
      </w:r>
      <w:r>
        <w:rPr>
          <w:rFonts w:ascii="KaiTi" w:hAnsi="KaiTi" w:eastAsia="KaiTi" w:cs="KaiTi"/>
          <w:b/>
          <w:color w:val="000000"/>
          <w:sz w:val="28"/>
        </w:rPr>
        <w:t xml:space="preserve">竞争性磋商小组</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5.1.1</w:t>
      </w:r>
      <w:r>
        <w:rPr>
          <w:rFonts w:ascii="FangSong" w:hAnsi="FangSong" w:eastAsia="FangSong" w:cs="FangSong"/>
          <w:color w:val="000000"/>
          <w:sz w:val="28"/>
        </w:rPr>
        <w:t xml:space="preserve">响应文件的评审工作由采购人依法组建的竞争性磋商小组负责。磋商小组由采购人代表，以及有关技术、经济等方面的专家组成，且符合现行的政府采购相关规定。</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5.1.2</w:t>
      </w:r>
      <w:r>
        <w:rPr>
          <w:rFonts w:ascii="FangSong" w:hAnsi="FangSong" w:eastAsia="FangSong" w:cs="FangSong"/>
          <w:color w:val="000000"/>
          <w:sz w:val="28"/>
        </w:rPr>
        <w:t xml:space="preserve">磋商小组成员有下列情形之一的，应当回避：</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）参加采购活动前三年内，与供应商存在劳动关系，或者担任过供应商的董事、监事，或者是供应商的控股股东或实际控制人；</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）与供应商的法定代表人或者负责人有夫妻、直系血亲、三代以内旁系血亲或者近姻亲关系；</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）与供应商有其他可能影响政府采购活动公平、公正进行的关系；</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4</w:t>
      </w:r>
      <w:r>
        <w:rPr>
          <w:rFonts w:ascii="FangSong" w:hAnsi="FangSong" w:eastAsia="FangSong" w:cs="FangSong"/>
          <w:color w:val="000000"/>
          <w:sz w:val="28"/>
        </w:rPr>
        <w:t xml:space="preserve">）法律、行政法规规定的其他条件。</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5.2</w:t>
      </w:r>
      <w:r>
        <w:rPr>
          <w:rFonts w:ascii="KaiTi" w:hAnsi="KaiTi" w:eastAsia="KaiTi" w:cs="KaiTi"/>
          <w:b/>
          <w:color w:val="000000"/>
          <w:sz w:val="28"/>
        </w:rPr>
        <w:t xml:space="preserve">评审</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评审活动遵循公正、客观、审慎的原则。磋商小组严格按照本竞争性磋商文件第三章规定的评审程序和标准进行独立评审。本文件中没有规定的评审标准，不得作为评审依据。</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6.</w:t>
      </w:r>
      <w:r>
        <w:rPr>
          <w:rFonts w:ascii="SimHei" w:hAnsi="SimHei" w:eastAsia="SimHei" w:cs="SimHei"/>
          <w:b/>
          <w:color w:val="000000"/>
          <w:sz w:val="32"/>
        </w:rPr>
        <w:t xml:space="preserve">成交</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6.1</w:t>
      </w:r>
      <w:r>
        <w:rPr>
          <w:rFonts w:ascii="KaiTi" w:hAnsi="KaiTi" w:eastAsia="KaiTi" w:cs="KaiTi"/>
          <w:b/>
          <w:color w:val="000000"/>
          <w:sz w:val="28"/>
        </w:rPr>
        <w:t xml:space="preserve">确定成交人</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采购人从磋商小组提出的成交候选人中根据符合采购需求且评审得分最高的原则确定成交供应商，并将结果通知所有参加磋商的未成交的供应商。</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6.2</w:t>
      </w:r>
      <w:r>
        <w:rPr>
          <w:rFonts w:ascii="KaiTi" w:hAnsi="KaiTi" w:eastAsia="KaiTi" w:cs="KaiTi"/>
          <w:b/>
          <w:color w:val="000000"/>
          <w:sz w:val="28"/>
        </w:rPr>
        <w:t xml:space="preserve">成交公告及成交通知书</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自成交人确定之日起</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个工作日内，在发布竞争性磋商公告的媒介上公告成交结果。同时，向成交人发出成交通知书。成交通知书对采购人和成交人具有同等法律效力。</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7.</w:t>
      </w:r>
      <w:r>
        <w:rPr>
          <w:rFonts w:ascii="SimHei" w:hAnsi="SimHei" w:eastAsia="SimHei" w:cs="SimHei"/>
          <w:b/>
          <w:color w:val="000000"/>
          <w:sz w:val="32"/>
        </w:rPr>
        <w:t xml:space="preserve">合同</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7.1</w:t>
      </w:r>
      <w:r>
        <w:rPr>
          <w:rFonts w:ascii="FangSong" w:hAnsi="FangSong" w:eastAsia="FangSong" w:cs="FangSong"/>
          <w:color w:val="000000"/>
          <w:sz w:val="28"/>
        </w:rPr>
        <w:t xml:space="preserve">采购人和成交人在供应商须知前附表规定的时间内，根据竞争性磋商文件和成交人的响应文件订立书面合同。成交人无正当理由拒签合同的，采购人取消其成交资格；给采购人造成损失的，成交人还应当予以赔偿。</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7.2</w:t>
      </w:r>
      <w:r>
        <w:rPr>
          <w:rFonts w:ascii="FangSong" w:hAnsi="FangSong" w:eastAsia="FangSong" w:cs="FangSong"/>
          <w:color w:val="000000"/>
          <w:sz w:val="28"/>
        </w:rPr>
        <w:t xml:space="preserve">成交人拒绝签订政府采购合同的，采购人可以按照本章</w:t>
      </w:r>
      <w:r>
        <w:rPr>
          <w:rFonts w:ascii="Times New Roman" w:hAnsi="Times New Roman" w:eastAsia="Times New Roman" w:cs="Times New Roman"/>
          <w:color w:val="000000"/>
          <w:sz w:val="28"/>
        </w:rPr>
        <w:t xml:space="preserve">6.1</w:t>
      </w:r>
      <w:r>
        <w:rPr>
          <w:rFonts w:ascii="FangSong" w:hAnsi="FangSong" w:eastAsia="FangSong" w:cs="FangSong"/>
          <w:color w:val="000000"/>
          <w:sz w:val="28"/>
        </w:rPr>
        <w:t xml:space="preserve">条规定的原则确定其他供应商作为成交人并签订政府采购合同，也可以重新开展采购活动。</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8.</w:t>
      </w:r>
      <w:r>
        <w:rPr>
          <w:rFonts w:ascii="SimHei" w:hAnsi="SimHei" w:eastAsia="SimHei" w:cs="SimHei"/>
          <w:b/>
          <w:color w:val="000000"/>
          <w:sz w:val="32"/>
        </w:rPr>
        <w:t xml:space="preserve">履约保证金</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8.1</w:t>
      </w:r>
      <w:r>
        <w:rPr>
          <w:rFonts w:ascii="FangSong" w:hAnsi="FangSong" w:eastAsia="FangSong" w:cs="FangSong"/>
          <w:color w:val="000000"/>
          <w:sz w:val="28"/>
        </w:rPr>
        <w:t xml:space="preserve">成交供应商应按采购人须知前附表规定的履约保证金的形式、金额和提交时间向采购人提交履约保证金。</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8.2</w:t>
      </w:r>
      <w:r>
        <w:rPr>
          <w:rFonts w:ascii="FangSong" w:hAnsi="FangSong" w:eastAsia="FangSong" w:cs="FangSong"/>
          <w:color w:val="000000"/>
          <w:sz w:val="28"/>
        </w:rPr>
        <w:t xml:space="preserve">成交供应商不能按本采购文件要求提交履约保证金的，视为放弃成交，给采购人造成损失的，成交供应商还应当予以赔偿。</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9.</w:t>
      </w:r>
      <w:r>
        <w:rPr>
          <w:rFonts w:ascii="SimHei" w:hAnsi="SimHei" w:eastAsia="SimHei" w:cs="SimHei"/>
          <w:b/>
          <w:color w:val="000000"/>
          <w:sz w:val="32"/>
        </w:rPr>
        <w:t xml:space="preserve">需要补充的其他内容</w:t>
      </w:r>
      <w:r/>
    </w:p>
    <w:p>
      <w:pPr>
        <w:ind w:left="0" w:right="0" w:firstLine="560"/>
        <w:jc w:val="both"/>
        <w:spacing w:before="240" w:after="24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需要补充的其他内容：见供应商须知前附表。</w:t>
      </w:r>
      <w:r/>
    </w:p>
    <w:p>
      <w:pPr>
        <w:ind w:left="0" w:right="0" w:firstLine="560"/>
        <w:jc w:val="center"/>
        <w:spacing w:before="240" w:after="24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44"/>
        </w:rPr>
        <w:t xml:space="preserve"> </w:t>
      </w:r>
      <w:r/>
    </w:p>
    <w:p>
      <w:pPr>
        <w:ind w:left="0" w:right="0" w:firstLine="560"/>
        <w:jc w:val="center"/>
        <w:spacing w:before="240" w:after="24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44"/>
        </w:rPr>
        <w:t xml:space="preserve"> </w:t>
      </w:r>
      <w:r/>
    </w:p>
    <w:p>
      <w:pPr>
        <w:ind w:left="0" w:right="0" w:firstLine="560"/>
        <w:jc w:val="center"/>
        <w:spacing w:before="240" w:after="24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44"/>
        </w:rPr>
        <w:t xml:space="preserve"> </w:t>
      </w:r>
      <w:r/>
    </w:p>
    <w:p>
      <w:pPr>
        <w:ind w:left="0" w:right="0" w:firstLine="560"/>
        <w:jc w:val="center"/>
        <w:spacing w:before="240" w:after="24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44"/>
        </w:rPr>
        <w:t xml:space="preserve"> </w:t>
      </w:r>
      <w:r/>
    </w:p>
    <w:p>
      <w:pPr>
        <w:ind w:left="0" w:right="0" w:firstLine="560"/>
        <w:jc w:val="center"/>
        <w:spacing w:before="240" w:after="24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4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560"/>
        <w:jc w:val="center"/>
        <w:spacing w:before="240" w:after="240" w:line="51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44"/>
        </w:rPr>
        <w:t xml:space="preserve">第三章竞争性磋商</w:t>
      </w:r>
      <w:r/>
    </w:p>
    <w:p>
      <w:pPr>
        <w:ind w:left="0" w:right="0" w:firstLine="0"/>
        <w:jc w:val="both"/>
        <w:spacing w:before="0" w:after="0" w:line="558"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竞争性磋商前附表</w:t>
      </w:r>
      <w:r/>
    </w:p>
    <w:tbl>
      <w:tblPr>
        <w:tblStyle w:val="72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97"/>
        <w:gridCol w:w="1678"/>
        <w:gridCol w:w="381"/>
        <w:gridCol w:w="575"/>
        <w:gridCol w:w="5924"/>
      </w:tblGrid>
      <w:tr>
        <w:trPr>
          <w:trHeight w:val="479"/>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1.1资格审查</w:t>
            </w:r>
            <w:r/>
          </w:p>
        </w:tc>
      </w:tr>
      <w:tr>
        <w:trPr>
          <w:trHeight w:val="78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评审事项</w:t>
            </w:r>
            <w:r/>
          </w:p>
        </w:tc>
        <w:tc>
          <w:tcPr>
            <w:gridSpan w:val="3"/>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评审因素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92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评审标准</w:t>
            </w:r>
            <w:r/>
          </w:p>
        </w:tc>
      </w:tr>
      <w:tr>
        <w:trPr>
          <w:trHeight w:val="8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7" w:type="dxa"/>
            <w:vAlign w:val="center"/>
            <w:vMerge w:val="restart"/>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资格审查</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基本资格条件的承诺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24" w:type="dxa"/>
            <w:vAlign w:val="center"/>
            <w:textDirection w:val="lrTb"/>
            <w:noWrap w:val="false"/>
          </w:tcPr>
          <w:p>
            <w:pPr>
              <w:ind w:left="0" w:right="0" w:firstLine="0"/>
              <w:spacing w:before="0" w:after="0" w:line="2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根据供应商提供的承诺书，内容完整且签章完备。（内容及格式参照第六章《供应商基本资格条件承诺书》）</w:t>
            </w:r>
            <w:r/>
          </w:p>
        </w:tc>
      </w:tr>
      <w:tr>
        <w:trPr>
          <w:trHeight w:val="805"/>
        </w:trPr>
        <w:tc>
          <w:tcPr>
            <w:vMerge w:val="continue"/>
            <w:textDirection w:val="lrTb"/>
            <w:noWrap w:val="false"/>
          </w:tcPr>
          <w:p>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具有独立承担民事责任的能力具有独立承担民事责任的能力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24" w:type="dxa"/>
            <w:vAlign w:val="center"/>
            <w:textDirection w:val="lrTb"/>
            <w:noWrap w:val="false"/>
          </w:tcPr>
          <w:p>
            <w:pPr>
              <w:ind w:left="0" w:right="0" w:firstLine="0"/>
              <w:spacing w:before="0" w:after="0" w:line="2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具备有效的营业执照或类似登记证书，且名称与投标人名称一致</w:t>
            </w:r>
            <w:r/>
          </w:p>
        </w:tc>
      </w:tr>
      <w:tr>
        <w:trPr>
          <w:trHeight w:val="875"/>
        </w:trPr>
        <w:tc>
          <w:tcPr>
            <w:vMerge w:val="continue"/>
            <w:textDirection w:val="lrTb"/>
            <w:noWrap w:val="false"/>
          </w:tcPr>
          <w:p>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落实政府采购政策需满足的资格要求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24"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本项目为非专门面向中小企业的项目</w:t>
            </w:r>
            <w:r/>
          </w:p>
        </w:tc>
      </w:tr>
      <w:tr>
        <w:trPr>
          <w:trHeight w:val="54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响应文件不符合评审标准之一的，评审结论为不合格。</w:t>
            </w:r>
            <w:r/>
          </w:p>
        </w:tc>
      </w:tr>
      <w:tr>
        <w:trPr>
          <w:trHeight w:val="51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4.2响应性评审</w:t>
            </w:r>
            <w:r/>
          </w:p>
        </w:tc>
      </w:tr>
      <w:tr>
        <w:trPr>
          <w:trHeight w:val="4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评审事项</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5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评审因素</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49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评审标准</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7" w:type="dxa"/>
            <w:vAlign w:val="center"/>
            <w:vMerge w:val="restart"/>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响应性</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评审</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报价</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99"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有且只有一个有效报价（本项目为固定单价，各投标单位统一报价为120元/人）</w:t>
            </w:r>
            <w:r/>
          </w:p>
        </w:tc>
      </w:tr>
      <w:tr>
        <w:trPr>
          <w:trHeight w:val="737"/>
        </w:trPr>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9"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技术要求</w:t>
            </w:r>
            <w:r/>
          </w:p>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响应</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99"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如磋商后技术要求有变动的，按磋商后确定的技术要求提供相应材料</w:t>
            </w:r>
            <w:r/>
          </w:p>
        </w:tc>
      </w:tr>
      <w:tr>
        <w:trPr>
          <w:trHeight w:val="742"/>
        </w:trPr>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9"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商务要求</w:t>
            </w:r>
            <w:r/>
          </w:p>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响应</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99"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如磋商后商务要求有变动的，按磋商后确定的商务要求提供相应材料</w:t>
            </w:r>
            <w:r/>
          </w:p>
        </w:tc>
      </w:tr>
      <w:tr>
        <w:trPr>
          <w:trHeight w:val="54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响应文件不符合评审标准之一的，评审结论为不合格。</w:t>
            </w:r>
            <w:r/>
          </w:p>
        </w:tc>
      </w:tr>
      <w:tr>
        <w:trPr>
          <w:trHeight w:val="407"/>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5.2详细评审</w:t>
            </w:r>
            <w:r/>
          </w:p>
        </w:tc>
      </w:tr>
      <w:tr>
        <w:trPr>
          <w:trHeight w:val="828"/>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评分项</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权值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评分标准</w:t>
            </w:r>
            <w:r/>
          </w:p>
        </w:tc>
      </w:tr>
      <w:tr>
        <w:trPr>
          <w:trHeight w:val="869"/>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7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履约能力</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1.综合实力（5分）：具有二级（含）医疗机构资质以上的得5分，具有一级医疗机构资质的得3分。</w:t>
            </w:r>
            <w:r>
              <w:rPr>
                <w:rFonts w:ascii="SimSun" w:hAnsi="SimSun" w:eastAsia="SimSun" w:cs="SimSun"/>
                <w:b/>
                <w:color w:val="000000"/>
                <w:sz w:val="21"/>
              </w:rPr>
              <w:t xml:space="preserve">（提供相关资质证明材料，加盖供应商电子章，不提供不得分） </w:t>
            </w:r>
            <w:r/>
          </w:p>
        </w:tc>
      </w:tr>
      <w:tr>
        <w:trPr>
          <w:trHeight w:val="531"/>
        </w:trPr>
        <w:tc>
          <w:tcPr>
            <w:gridSpan w:val="2"/>
            <w:vMerge w:val="continue"/>
            <w:textDirection w:val="lrTb"/>
            <w:noWrap w:val="false"/>
          </w:tcPr>
          <w:p>
            <w:r/>
            <w:r/>
          </w:p>
        </w:tc>
        <w:tc>
          <w:tcPr>
            <w:gridSpan w:val="2"/>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2.类似业绩（15分）：2022年1月1日（以合同签订时间为准）以来承担过老年人体检服务项目的，有一个得2.5分，最高的15分。</w:t>
            </w:r>
            <w:r>
              <w:rPr>
                <w:rFonts w:ascii="SimSun" w:hAnsi="SimSun" w:eastAsia="SimSun" w:cs="SimSun"/>
                <w:b/>
                <w:color w:val="000000"/>
                <w:sz w:val="21"/>
              </w:rPr>
              <w:t xml:space="preserve">（提供合同或协议书等相关证明材料，加盖供应商电子章，不提供不得分）</w:t>
            </w:r>
            <w:r/>
          </w:p>
        </w:tc>
      </w:tr>
      <w:tr>
        <w:trPr>
          <w:trHeight w:val="828"/>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74"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项目实施方案</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1.组织管理（15分）：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具体实施方案应包含组织保障、制度建设、体检全过程质量控制措施、体检结果跟踪服务等方面：</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方案优于采购文件需求的得15分；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方案符合采购文件需求的得10分；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方案基本符合采购文件需求的得5分；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方案不符合采购文件需求或未提供的不得分。</w:t>
            </w:r>
            <w:r/>
          </w:p>
        </w:tc>
      </w:tr>
      <w:tr>
        <w:trPr>
          <w:trHeight w:val="558"/>
        </w:trPr>
        <w:tc>
          <w:tcPr>
            <w:gridSpan w:val="2"/>
            <w:vMerge w:val="continue"/>
            <w:textDirection w:val="lrTb"/>
            <w:noWrap w:val="false"/>
          </w:tcPr>
          <w:p>
            <w:r/>
            <w:r/>
          </w:p>
        </w:tc>
        <w:tc>
          <w:tcPr>
            <w:gridSpan w:val="2"/>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2.应急措施（10分）：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应急措施应包含以下几个方面：</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①体检设备故障应急预案</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②人员集中、排队等候时间过长应急预案</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③消防应急预案（含疏散示意图）</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④抢救措施预案</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⑤提供检出重要指标阳性及重大疾病的解决方案</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⑥各类突发、意外事故预案（含流程图），不限于晕针、标本采集错误、突发低血糖和跌倒等应急预案</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方案完整且细致全面、合理、可实施性强的得10分；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方案较完整、具有一定可实施性的得7分；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方案基本完整、可操作性一般的得4分；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方案不完整、可操作性差或未提供的不得分。</w:t>
            </w:r>
            <w:r/>
          </w:p>
        </w:tc>
      </w:tr>
      <w:tr>
        <w:trPr>
          <w:trHeight w:val="469"/>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体检设备</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要设备投入（10分）：DR机、生化分析仪、免疫分析仪、血球计量仪、电子显微镜、尿检设备，每类提供1套（台）得1分，最高得6分；彩色B超机和心电图仪，每类提供2套（台）得2分，最高得4分；不能提供不得分。</w:t>
            </w:r>
            <w:r>
              <w:rPr>
                <w:rFonts w:ascii="SimSun" w:hAnsi="SimSun" w:eastAsia="SimSun" w:cs="SimSun"/>
                <w:b/>
                <w:color w:val="000000"/>
                <w:sz w:val="21"/>
              </w:rPr>
              <w:t xml:space="preserve">（提供设备清单和图片，加盖供应商电子章，不提供不得分）</w:t>
            </w:r>
            <w:r/>
          </w:p>
        </w:tc>
      </w:tr>
      <w:tr>
        <w:trPr>
          <w:trHeight w:val="828"/>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74"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专业技术能力</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1.医护人员总人数（5分）：提供至少15名专职体检医护人员的，得5分，人员提供不足15名的不得分。</w:t>
            </w:r>
            <w:r>
              <w:rPr>
                <w:rFonts w:ascii="SimSun" w:hAnsi="SimSun" w:eastAsia="SimSun" w:cs="SimSun"/>
                <w:b/>
                <w:color w:val="000000"/>
                <w:sz w:val="21"/>
              </w:rPr>
              <w:t xml:space="preserve">（提供医护人员清单、拟投入医护人员近三个月（不含磋商响应文件递交当月）内任意一个月的社保证明和劳动合同复印件，已退休人员提供退休及返聘证明作为评分依据，加盖供应商电子章，不提供不得分）</w:t>
            </w:r>
            <w:r/>
          </w:p>
        </w:tc>
      </w:tr>
      <w:tr>
        <w:trPr>
          <w:trHeight w:val="558"/>
        </w:trPr>
        <w:tc>
          <w:tcPr>
            <w:gridSpan w:val="2"/>
            <w:vMerge w:val="continue"/>
            <w:textDirection w:val="lrTb"/>
            <w:noWrap w:val="false"/>
          </w:tcPr>
          <w:p>
            <w:r/>
            <w:r/>
          </w:p>
        </w:tc>
        <w:tc>
          <w:tcPr>
            <w:gridSpan w:val="2"/>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医护人员职称（8分）：具有中级（含）以上职称的医护人员15人及以上的，得8分；10人≤具有中级（含）以上职称的医护人员&lt;15人的，得5分；5人≤具有中级（含）以上职称的医护人员&lt;10人的，得2分；具有中级（含）以上职称的医护人员&lt;5人不得分。</w:t>
            </w:r>
            <w:r>
              <w:rPr>
                <w:rFonts w:ascii="SimSun" w:hAnsi="SimSun" w:eastAsia="SimSun" w:cs="SimSun"/>
                <w:b/>
                <w:color w:val="000000"/>
                <w:sz w:val="21"/>
              </w:rPr>
              <w:t xml:space="preserve">（提供执业证书、职称证书复印件，加盖供应商电子章；《执业证书》当前执业地点必须为供应商单位，注册变更时间在本项目采购公告发布前，不提供不得分）</w:t>
            </w:r>
            <w:r/>
          </w:p>
        </w:tc>
      </w:tr>
      <w:tr>
        <w:trPr>
          <w:trHeight w:val="558"/>
        </w:trPr>
        <w:tc>
          <w:tcPr>
            <w:gridSpan w:val="2"/>
            <w:vMerge w:val="continue"/>
            <w:textDirection w:val="lrTb"/>
            <w:noWrap w:val="false"/>
          </w:tcPr>
          <w:p>
            <w:r/>
            <w:r/>
          </w:p>
        </w:tc>
        <w:tc>
          <w:tcPr>
            <w:gridSpan w:val="2"/>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3.审核签署健康体检报告医师（2分）：提供具有副高级及以上专业技术职务任职资格的执业医师负责审核签署健康体检报告的，得2分。</w:t>
            </w:r>
            <w:r>
              <w:rPr>
                <w:rFonts w:ascii="SimSun" w:hAnsi="SimSun" w:eastAsia="SimSun" w:cs="SimSun"/>
                <w:b/>
                <w:color w:val="000000"/>
                <w:sz w:val="21"/>
              </w:rPr>
              <w:t xml:space="preserve">（提供职称证书，加盖供应商电子章，不提供不得分）</w:t>
            </w:r>
            <w:r/>
          </w:p>
        </w:tc>
      </w:tr>
      <w:tr>
        <w:trPr>
          <w:trHeight w:val="461"/>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7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服务保障</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日体检人次（15分）：能提供专场服务，单日体检人次≥200人的，得15分；能提供专场服务，100人≤单日体检人次＜200人的，得10分；能提供专场服务，50人≤单日体检人次＜100人的，得5分；能提供专场服务，单日体检人次＜50人的，不得分。</w:t>
            </w:r>
            <w:r>
              <w:rPr>
                <w:rFonts w:ascii="SimSun" w:hAnsi="SimSun" w:eastAsia="SimSun" w:cs="SimSun"/>
                <w:b/>
                <w:color w:val="000000"/>
                <w:sz w:val="21"/>
              </w:rPr>
              <w:t xml:space="preserve">（提供相关证明材料或承诺函，加盖供应商电子章，格式自拟，不提供不得分）</w:t>
            </w:r>
            <w:r/>
          </w:p>
        </w:tc>
      </w:tr>
      <w:tr>
        <w:trPr>
          <w:trHeight w:val="828"/>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74"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1"/>
              </w:rPr>
              <w:t xml:space="preserve">体检结论</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24" w:type="dxa"/>
            <w:vAlign w:val="center"/>
            <w:textDirection w:val="lrTb"/>
            <w:noWrap w:val="false"/>
          </w:tcPr>
          <w:p>
            <w:pPr>
              <w:numPr>
                <w:ilvl w:val="0"/>
                <w:numId w:val="12"/>
              </w:numPr>
              <w:spacing w:before="0" w:after="0" w:line="380" w:lineRule="atLeast"/>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1"/>
              </w:rPr>
              <w:t xml:space="preserve">体检机构承诺在体检结束后5日内，向退休人员提交体检报告，个人体检报告须含各分项统计指标和主检结论。（</w:t>
            </w:r>
            <w:r>
              <w:rPr>
                <w:rFonts w:ascii="SimSun" w:hAnsi="SimSun" w:eastAsia="SimSun" w:cs="SimSun"/>
                <w:b/>
                <w:color w:val="000000"/>
                <w:spacing w:val="10"/>
                <w:sz w:val="21"/>
              </w:rPr>
              <w:t xml:space="preserve">提供近期同类型个人体检报告一份，含体检日、报告日期、各分项统计指标和主检结论等、姓名可隐蔽的佐证材料，</w:t>
            </w:r>
            <w:r>
              <w:rPr>
                <w:rFonts w:ascii="SimSun" w:hAnsi="SimSun" w:eastAsia="SimSun" w:cs="SimSun"/>
                <w:b/>
                <w:color w:val="000000"/>
                <w:sz w:val="21"/>
              </w:rPr>
              <w:t xml:space="preserve">加盖供应商电子章，提供的5分，不提供不得分</w:t>
            </w:r>
            <w:r>
              <w:rPr>
                <w:rFonts w:ascii="SimSun" w:hAnsi="SimSun" w:eastAsia="SimSun" w:cs="SimSun"/>
                <w:color w:val="000000"/>
                <w:spacing w:val="10"/>
                <w:sz w:val="21"/>
              </w:rPr>
              <w:t xml:space="preserve">）</w:t>
            </w:r>
            <w:r/>
          </w:p>
          <w:p>
            <w:pPr>
              <w:ind w:left="0" w:right="0" w:firstLine="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0"/>
                <w:sz w:val="21"/>
              </w:rPr>
              <w:t xml:space="preserve">2.</w:t>
            </w:r>
            <w:r>
              <w:rPr>
                <w:rFonts w:ascii="SimSun" w:hAnsi="SimSun" w:eastAsia="SimSun" w:cs="SimSun"/>
                <w:color w:val="000000"/>
                <w:spacing w:val="10"/>
                <w:sz w:val="21"/>
              </w:rPr>
              <w:t xml:space="preserve">承诺审核体检异常时及时（3日内）通知本人、承诺电子体检报告保存年限至少10年得</w:t>
            </w:r>
            <w:r>
              <w:rPr>
                <w:rFonts w:ascii="SimSun" w:hAnsi="SimSun" w:eastAsia="SimSun" w:cs="SimSun"/>
                <w:b/>
                <w:color w:val="000000"/>
                <w:spacing w:val="10"/>
                <w:sz w:val="21"/>
              </w:rPr>
              <w:t xml:space="preserve">2</w:t>
            </w:r>
            <w:r>
              <w:rPr>
                <w:rFonts w:ascii="SimSun" w:hAnsi="SimSun" w:eastAsia="SimSun" w:cs="SimSun"/>
                <w:color w:val="000000"/>
                <w:spacing w:val="10"/>
                <w:sz w:val="21"/>
              </w:rPr>
              <w:t xml:space="preserve">分，保存15年以上得</w:t>
            </w:r>
            <w:r>
              <w:rPr>
                <w:rFonts w:ascii="SimSun" w:hAnsi="SimSun" w:eastAsia="SimSun" w:cs="SimSun"/>
                <w:b/>
                <w:color w:val="000000"/>
                <w:spacing w:val="10"/>
                <w:sz w:val="21"/>
              </w:rPr>
              <w:t xml:space="preserve">5</w:t>
            </w:r>
            <w:r>
              <w:rPr>
                <w:rFonts w:ascii="SimSun" w:hAnsi="SimSun" w:eastAsia="SimSun" w:cs="SimSun"/>
                <w:color w:val="000000"/>
                <w:spacing w:val="10"/>
                <w:sz w:val="21"/>
              </w:rPr>
              <w:t xml:space="preserve">分。</w:t>
            </w:r>
            <w:r>
              <w:rPr>
                <w:rFonts w:ascii="SimSun" w:hAnsi="SimSun" w:eastAsia="SimSun" w:cs="SimSun"/>
                <w:b/>
                <w:color w:val="000000"/>
                <w:spacing w:val="10"/>
                <w:sz w:val="21"/>
              </w:rPr>
              <w:t xml:space="preserve">（提供承诺函，</w:t>
            </w:r>
            <w:r>
              <w:rPr>
                <w:rFonts w:ascii="SimSun" w:hAnsi="SimSun" w:eastAsia="SimSun" w:cs="SimSun"/>
                <w:b/>
                <w:color w:val="000000"/>
                <w:sz w:val="21"/>
              </w:rPr>
              <w:t xml:space="preserve">加盖供应商电子章，</w:t>
            </w:r>
            <w:r>
              <w:rPr>
                <w:rFonts w:ascii="SimSun" w:hAnsi="SimSun" w:eastAsia="SimSun" w:cs="SimSun"/>
                <w:b/>
                <w:color w:val="000000"/>
                <w:spacing w:val="10"/>
                <w:sz w:val="21"/>
              </w:rPr>
              <w:t xml:space="preserve">不提供不得分，承诺函格式自拟）</w:t>
            </w:r>
            <w:r/>
          </w:p>
        </w:tc>
      </w:tr>
      <w:tr>
        <w:trPr>
          <w:trHeight w:val="828"/>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7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增值服务</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提供意外事故险的，得2.5分。</w:t>
            </w:r>
            <w:r>
              <w:rPr>
                <w:rFonts w:ascii="SimSun" w:hAnsi="SimSun" w:eastAsia="SimSun" w:cs="SimSun"/>
                <w:b/>
                <w:color w:val="000000"/>
                <w:sz w:val="21"/>
              </w:rPr>
              <w:t xml:space="preserve">（提供购买保险承诺函，加盖供应商电子章，格式自拟，不提供不得分）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为参检退休人员提供免费营养早餐的，得2.5分。</w:t>
            </w:r>
            <w:r>
              <w:rPr>
                <w:rFonts w:ascii="SimSun" w:hAnsi="SimSun" w:eastAsia="SimSun" w:cs="SimSun"/>
                <w:b/>
                <w:color w:val="000000"/>
                <w:sz w:val="21"/>
              </w:rPr>
              <w:t xml:space="preserve">（提供购买早餐承诺函，加盖供应商电子章，格式自拟，不提供不得分）</w:t>
            </w:r>
            <w:r/>
          </w:p>
        </w:tc>
      </w:tr>
    </w:tbl>
    <w:p>
      <w:pPr>
        <w:ind w:left="0" w:right="0" w:firstLine="0"/>
        <w:jc w:val="both"/>
        <w:spacing w:before="0" w:after="0" w:line="49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0" w:right="0" w:firstLine="0"/>
        <w:jc w:val="both"/>
        <w:spacing w:before="0" w:after="0" w:line="49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1.</w:t>
      </w:r>
      <w:r>
        <w:rPr>
          <w:rFonts w:ascii="SimHei" w:hAnsi="SimHei" w:eastAsia="SimHei" w:cs="SimHei"/>
          <w:b/>
          <w:color w:val="000000"/>
          <w:sz w:val="28"/>
        </w:rPr>
        <w:t xml:space="preserve">资格审查</w:t>
      </w:r>
      <w:r/>
    </w:p>
    <w:p>
      <w:pPr>
        <w:ind w:left="0" w:right="0" w:firstLine="0"/>
        <w:jc w:val="both"/>
        <w:spacing w:before="0" w:after="0" w:line="49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1.1</w:t>
      </w:r>
      <w:r>
        <w:rPr>
          <w:rFonts w:ascii="KaiTi" w:hAnsi="KaiTi" w:eastAsia="KaiTi" w:cs="KaiTi"/>
          <w:b/>
          <w:color w:val="000000"/>
          <w:sz w:val="28"/>
        </w:rPr>
        <w:t xml:space="preserve">资格审查</w:t>
      </w:r>
      <w:r/>
    </w:p>
    <w:p>
      <w:pPr>
        <w:ind w:left="0" w:right="0" w:firstLine="560"/>
        <w:jc w:val="both"/>
        <w:spacing w:before="0" w:after="0" w:line="49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1.1.1</w:t>
      </w:r>
      <w:r>
        <w:rPr>
          <w:rFonts w:ascii="FangSong" w:hAnsi="FangSong" w:eastAsia="FangSong" w:cs="FangSong"/>
          <w:color w:val="000000"/>
          <w:sz w:val="28"/>
        </w:rPr>
        <w:t xml:space="preserve">资格审查由竞争性磋商小组负责。</w:t>
      </w:r>
      <w:r/>
    </w:p>
    <w:p>
      <w:pPr>
        <w:ind w:left="0" w:right="0" w:firstLine="560"/>
        <w:jc w:val="both"/>
        <w:spacing w:before="0" w:after="0" w:line="49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1.1.2</w:t>
      </w:r>
      <w:r>
        <w:rPr>
          <w:rFonts w:ascii="FangSong" w:hAnsi="FangSong" w:eastAsia="FangSong" w:cs="FangSong"/>
          <w:color w:val="000000"/>
          <w:sz w:val="28"/>
        </w:rPr>
        <w:t xml:space="preserve">资格审查因素和标准：见竞争性磋商前附表。</w:t>
      </w:r>
      <w:r/>
    </w:p>
    <w:p>
      <w:pPr>
        <w:ind w:left="0" w:right="0" w:firstLine="0"/>
        <w:jc w:val="both"/>
        <w:spacing w:before="0" w:after="0" w:line="49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2.</w:t>
      </w:r>
      <w:r>
        <w:rPr>
          <w:rFonts w:ascii="SimHei" w:hAnsi="SimHei" w:eastAsia="SimHei" w:cs="SimHei"/>
          <w:b/>
          <w:color w:val="000000"/>
          <w:sz w:val="28"/>
        </w:rPr>
        <w:t xml:space="preserve">磋商</w:t>
      </w:r>
      <w:r/>
    </w:p>
    <w:p>
      <w:pPr>
        <w:ind w:left="0" w:right="0" w:firstLine="0"/>
        <w:jc w:val="both"/>
        <w:spacing w:before="0" w:after="0" w:line="49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2.1</w:t>
      </w:r>
      <w:r>
        <w:rPr>
          <w:rFonts w:ascii="KaiTi" w:hAnsi="KaiTi" w:eastAsia="KaiTi" w:cs="KaiTi"/>
          <w:b/>
          <w:color w:val="000000"/>
          <w:sz w:val="28"/>
        </w:rPr>
        <w:t xml:space="preserve">确定磋商对象</w:t>
      </w:r>
      <w:r/>
    </w:p>
    <w:p>
      <w:pPr>
        <w:ind w:left="0" w:right="0" w:firstLine="560"/>
        <w:jc w:val="both"/>
        <w:spacing w:before="0" w:after="0" w:line="49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磋商小组邀请资格审查合格的供应商参加磋商。</w:t>
      </w:r>
      <w:r/>
    </w:p>
    <w:p>
      <w:pPr>
        <w:ind w:left="0" w:right="0" w:firstLine="0"/>
        <w:jc w:val="both"/>
        <w:spacing w:before="0" w:after="0" w:line="49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2.2</w:t>
      </w:r>
      <w:r>
        <w:rPr>
          <w:rFonts w:ascii="KaiTi" w:hAnsi="KaiTi" w:eastAsia="KaiTi" w:cs="KaiTi"/>
          <w:b/>
          <w:color w:val="000000"/>
          <w:sz w:val="28"/>
        </w:rPr>
        <w:t xml:space="preserve">磋商</w:t>
      </w:r>
      <w:r/>
    </w:p>
    <w:p>
      <w:pPr>
        <w:ind w:left="0" w:right="0" w:firstLine="560"/>
        <w:jc w:val="both"/>
        <w:spacing w:before="0" w:after="0" w:line="49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2.2.1</w:t>
      </w:r>
      <w:r>
        <w:rPr>
          <w:rFonts w:ascii="FangSong" w:hAnsi="FangSong" w:eastAsia="FangSong" w:cs="FangSong"/>
          <w:color w:val="000000"/>
          <w:sz w:val="28"/>
        </w:rPr>
        <w:t xml:space="preserve">磋商小组所有成员集中与单一供应商分别进行磋商。</w:t>
      </w:r>
      <w:r>
        <w:rPr>
          <w:rFonts w:ascii="FangSong" w:hAnsi="FangSong" w:eastAsia="FangSong" w:cs="FangSong"/>
          <w:b/>
          <w:color w:val="000000"/>
          <w:sz w:val="28"/>
        </w:rPr>
        <w:t xml:space="preserve">供应商在项目评审全过程中应保持通讯畅通，并安排专人与采购人及磋商小组联系且密切关注苏采云开评标系统，避免因供应商专职人员失误导致错失二轮报价的机会，造成废标的情况发生。本次磋商采用“苏采云”系统中的视频会议，供应商自行选择任意地点参加远程磋商会议。请供应商在磋商前等候在开标大厅，随时接听磋商小组发出的磋商视频邀请（所有邀请等待时间</w:t>
      </w:r>
      <w:r>
        <w:rPr>
          <w:rFonts w:ascii="Times New Roman" w:hAnsi="Times New Roman" w:eastAsia="Times New Roman" w:cs="Times New Roman"/>
          <w:b/>
          <w:color w:val="000000"/>
          <w:sz w:val="28"/>
        </w:rPr>
        <w:t xml:space="preserve">2</w:t>
      </w:r>
      <w:r>
        <w:rPr>
          <w:rFonts w:ascii="FangSong" w:hAnsi="FangSong" w:eastAsia="FangSong" w:cs="FangSong"/>
          <w:b/>
          <w:color w:val="000000"/>
          <w:sz w:val="28"/>
        </w:rPr>
        <w:t xml:space="preserve">分钟，</w:t>
      </w:r>
      <w:r>
        <w:rPr>
          <w:rFonts w:ascii="Times New Roman" w:hAnsi="Times New Roman" w:eastAsia="Times New Roman" w:cs="Times New Roman"/>
          <w:b/>
          <w:color w:val="000000"/>
          <w:sz w:val="28"/>
        </w:rPr>
        <w:t xml:space="preserve">2</w:t>
      </w:r>
      <w:r>
        <w:rPr>
          <w:rFonts w:ascii="FangSong" w:hAnsi="FangSong" w:eastAsia="FangSong" w:cs="FangSong"/>
          <w:b/>
          <w:color w:val="000000"/>
          <w:sz w:val="28"/>
        </w:rPr>
        <w:t xml:space="preserve">分钟内所邀请供应商无响应，视同放弃磋商的权利，由解密顺序下一家进行磋商，不再后补。若视频邀请无法启用，磋商小组将通过各供应商的</w:t>
      </w:r>
      <w:r>
        <w:rPr>
          <w:rFonts w:ascii="Times New Roman" w:hAnsi="Times New Roman" w:eastAsia="Times New Roman" w:cs="Times New Roman"/>
          <w:b/>
          <w:color w:val="000000"/>
          <w:sz w:val="28"/>
        </w:rPr>
        <w:t xml:space="preserve">qq</w:t>
      </w:r>
      <w:r>
        <w:rPr>
          <w:rFonts w:ascii="FangSong" w:hAnsi="FangSong" w:eastAsia="FangSong" w:cs="FangSong"/>
          <w:b/>
          <w:color w:val="000000"/>
          <w:sz w:val="28"/>
        </w:rPr>
        <w:t xml:space="preserve">邮箱号，发起磋商，请保证</w:t>
      </w:r>
      <w:r>
        <w:rPr>
          <w:rFonts w:ascii="Times New Roman" w:hAnsi="Times New Roman" w:eastAsia="Times New Roman" w:cs="Times New Roman"/>
          <w:b/>
          <w:color w:val="000000"/>
          <w:sz w:val="28"/>
        </w:rPr>
        <w:t xml:space="preserve">qq</w:t>
      </w:r>
      <w:r>
        <w:rPr>
          <w:rFonts w:ascii="FangSong" w:hAnsi="FangSong" w:eastAsia="FangSong" w:cs="FangSong"/>
          <w:b/>
          <w:color w:val="000000"/>
          <w:sz w:val="28"/>
        </w:rPr>
        <w:t xml:space="preserve">邮箱号准确无误，并在收到磋商通知书后及时回复）</w:t>
      </w:r>
      <w:r/>
    </w:p>
    <w:p>
      <w:pPr>
        <w:ind w:left="0" w:right="0" w:firstLine="560"/>
        <w:jc w:val="both"/>
        <w:spacing w:before="0" w:after="0" w:line="49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2.2.2</w:t>
      </w:r>
      <w:r>
        <w:rPr>
          <w:rFonts w:ascii="FangSong" w:hAnsi="FangSong" w:eastAsia="FangSong" w:cs="FangSong"/>
          <w:color w:val="000000"/>
          <w:sz w:val="28"/>
        </w:rPr>
        <w:t xml:space="preserve">磋商小组与供应商就采购需求中的技术、服务要求以及合同草案条款进行磋商。</w:t>
      </w:r>
      <w:r/>
    </w:p>
    <w:p>
      <w:pPr>
        <w:ind w:left="0" w:right="0" w:firstLine="560"/>
        <w:jc w:val="both"/>
        <w:spacing w:before="0" w:after="0" w:line="49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2.2.3</w:t>
      </w:r>
      <w:r>
        <w:rPr>
          <w:rFonts w:ascii="FangSong" w:hAnsi="FangSong" w:eastAsia="FangSong" w:cs="FangSong"/>
          <w:color w:val="000000"/>
          <w:sz w:val="28"/>
        </w:rPr>
        <w:t xml:space="preserve">磋商结束后，磋商小组依据磋商的情况，形成经磋商确定的磋商文件。</w:t>
      </w:r>
      <w:r/>
    </w:p>
    <w:p>
      <w:pPr>
        <w:ind w:left="0" w:right="0" w:firstLine="560"/>
        <w:jc w:val="both"/>
        <w:spacing w:before="0" w:after="0" w:line="49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2.2.4</w:t>
      </w:r>
      <w:r>
        <w:rPr>
          <w:rFonts w:ascii="FangSong" w:hAnsi="FangSong" w:eastAsia="FangSong" w:cs="FangSong"/>
          <w:color w:val="000000"/>
          <w:sz w:val="28"/>
        </w:rPr>
        <w:t xml:space="preserve">对磋商文件作出的实质性变动是磋商文件的有效组成部分，磋商小组将以书面形式同时通知所有参加磋商的供应商。</w:t>
      </w:r>
      <w:r/>
    </w:p>
    <w:p>
      <w:pPr>
        <w:ind w:left="0" w:right="0" w:firstLine="560"/>
        <w:jc w:val="both"/>
        <w:spacing w:before="0" w:after="0" w:line="49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2.2.5</w:t>
      </w:r>
      <w:r>
        <w:rPr>
          <w:rFonts w:ascii="FangSong" w:hAnsi="FangSong" w:eastAsia="FangSong" w:cs="FangSong"/>
          <w:color w:val="000000"/>
          <w:sz w:val="28"/>
        </w:rPr>
        <w:t xml:space="preserve">在提交最后报价之前，供应商可以根据磋商情况退出磋商。</w:t>
      </w:r>
      <w:r/>
    </w:p>
    <w:p>
      <w:pPr>
        <w:ind w:left="0" w:right="0" w:firstLine="0"/>
        <w:jc w:val="both"/>
        <w:spacing w:before="0" w:after="0" w:line="49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3.</w:t>
      </w:r>
      <w:r>
        <w:rPr>
          <w:rFonts w:ascii="SimHei" w:hAnsi="SimHei" w:eastAsia="SimHei" w:cs="SimHei"/>
          <w:b/>
          <w:color w:val="000000"/>
          <w:sz w:val="28"/>
        </w:rPr>
        <w:t xml:space="preserve">再次提交响应文件</w:t>
      </w:r>
      <w:r/>
    </w:p>
    <w:p>
      <w:pPr>
        <w:ind w:left="0" w:right="0" w:firstLine="0"/>
        <w:jc w:val="both"/>
        <w:spacing w:before="0" w:after="0" w:line="49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3.1</w:t>
      </w:r>
      <w:r>
        <w:rPr>
          <w:rFonts w:ascii="KaiTi" w:hAnsi="KaiTi" w:eastAsia="KaiTi" w:cs="KaiTi"/>
          <w:b/>
          <w:color w:val="000000"/>
          <w:sz w:val="28"/>
        </w:rPr>
        <w:t xml:space="preserve">技术、服务要求和合同草案条款响应</w:t>
      </w:r>
      <w:r/>
    </w:p>
    <w:p>
      <w:pPr>
        <w:ind w:left="0" w:right="0" w:firstLine="560"/>
        <w:jc w:val="both"/>
        <w:spacing w:before="0" w:after="0" w:line="49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供应商按照磋商文件的变动情况和磋商小组的要求，对采购需求中的技术、服务要求以及合同草案条款作出响应。</w:t>
      </w:r>
      <w:r/>
    </w:p>
    <w:p>
      <w:pPr>
        <w:ind w:left="0" w:right="0" w:firstLine="0"/>
        <w:jc w:val="both"/>
        <w:spacing w:before="0" w:after="0" w:line="49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3.2</w:t>
      </w:r>
      <w:r>
        <w:rPr>
          <w:rFonts w:ascii="KaiTi" w:hAnsi="KaiTi" w:eastAsia="KaiTi" w:cs="KaiTi"/>
          <w:b/>
          <w:color w:val="000000"/>
          <w:sz w:val="28"/>
        </w:rPr>
        <w:t xml:space="preserve">最后报价</w:t>
      </w:r>
      <w:r/>
    </w:p>
    <w:p>
      <w:pPr>
        <w:ind w:left="0" w:right="0" w:firstLine="560"/>
        <w:jc w:val="both"/>
        <w:spacing w:before="0" w:after="0" w:line="49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供应商按照磋商小组的要求，在规定的时间内，通过“苏采云”系统提交最后报价。</w:t>
      </w:r>
      <w:r/>
    </w:p>
    <w:p>
      <w:pPr>
        <w:ind w:left="0" w:right="0" w:firstLine="0"/>
        <w:jc w:val="both"/>
        <w:spacing w:before="0" w:after="0" w:line="49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4.</w:t>
      </w:r>
      <w:r>
        <w:rPr>
          <w:rFonts w:ascii="SimHei" w:hAnsi="SimHei" w:eastAsia="SimHei" w:cs="SimHei"/>
          <w:b/>
          <w:color w:val="000000"/>
          <w:sz w:val="28"/>
        </w:rPr>
        <w:t xml:space="preserve">响应性评审</w:t>
      </w:r>
      <w:r/>
    </w:p>
    <w:p>
      <w:pPr>
        <w:ind w:left="0" w:right="0" w:firstLine="560"/>
        <w:jc w:val="both"/>
        <w:spacing w:before="0" w:after="0" w:line="49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4.1</w:t>
      </w:r>
      <w:r>
        <w:rPr>
          <w:rFonts w:ascii="FangSong" w:hAnsi="FangSong" w:eastAsia="FangSong" w:cs="FangSong"/>
          <w:color w:val="000000"/>
          <w:sz w:val="28"/>
        </w:rPr>
        <w:t xml:space="preserve">响应性评审由竞争性磋商小组负责。</w:t>
      </w:r>
      <w:r/>
    </w:p>
    <w:p>
      <w:pPr>
        <w:ind w:left="0" w:right="0" w:firstLine="560"/>
        <w:jc w:val="both"/>
        <w:spacing w:before="0" w:after="0" w:line="49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4.2</w:t>
      </w:r>
      <w:r>
        <w:rPr>
          <w:rFonts w:ascii="FangSong" w:hAnsi="FangSong" w:eastAsia="FangSong" w:cs="FangSong"/>
          <w:color w:val="000000"/>
          <w:sz w:val="28"/>
        </w:rPr>
        <w:t xml:space="preserve">响应性评审因素和标准：见竞争性磋商前附表。</w:t>
      </w:r>
      <w:r/>
    </w:p>
    <w:p>
      <w:pPr>
        <w:ind w:left="0" w:right="0" w:firstLine="0"/>
        <w:jc w:val="both"/>
        <w:spacing w:before="0" w:after="0" w:line="49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5.</w:t>
      </w:r>
      <w:r>
        <w:rPr>
          <w:rFonts w:ascii="SimHei" w:hAnsi="SimHei" w:eastAsia="SimHei" w:cs="SimHei"/>
          <w:b/>
          <w:color w:val="000000"/>
          <w:sz w:val="28"/>
        </w:rPr>
        <w:t xml:space="preserve">详细评审</w:t>
      </w:r>
      <w:r/>
    </w:p>
    <w:p>
      <w:pPr>
        <w:ind w:left="0" w:right="0" w:firstLine="560"/>
        <w:jc w:val="both"/>
        <w:spacing w:before="0" w:after="0" w:line="49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5.1</w:t>
      </w:r>
      <w:r>
        <w:rPr>
          <w:rFonts w:ascii="FangSong" w:hAnsi="FangSong" w:eastAsia="FangSong" w:cs="FangSong"/>
          <w:color w:val="000000"/>
          <w:sz w:val="28"/>
        </w:rPr>
        <w:t xml:space="preserve">详细评审由竞争性磋商小组负责。</w:t>
      </w:r>
      <w:r/>
    </w:p>
    <w:p>
      <w:pPr>
        <w:ind w:left="0" w:right="0" w:firstLine="560"/>
        <w:jc w:val="both"/>
        <w:spacing w:before="0" w:after="0" w:line="49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5.2</w:t>
      </w:r>
      <w:r>
        <w:rPr>
          <w:rFonts w:ascii="FangSong" w:hAnsi="FangSong" w:eastAsia="FangSong" w:cs="FangSong"/>
          <w:color w:val="000000"/>
          <w:sz w:val="28"/>
        </w:rPr>
        <w:t xml:space="preserve">详细评审因素和标准：见竞争性磋商前附表。</w:t>
      </w:r>
      <w:r/>
    </w:p>
    <w:p>
      <w:pPr>
        <w:ind w:left="0" w:right="0" w:firstLine="0"/>
        <w:jc w:val="both"/>
        <w:spacing w:before="0" w:after="0" w:line="49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6.</w:t>
      </w:r>
      <w:r>
        <w:rPr>
          <w:rFonts w:ascii="SimHei" w:hAnsi="SimHei" w:eastAsia="SimHei" w:cs="SimHei"/>
          <w:b/>
          <w:color w:val="000000"/>
          <w:sz w:val="28"/>
        </w:rPr>
        <w:t xml:space="preserve">推荐成交候选人</w:t>
      </w:r>
      <w:r/>
    </w:p>
    <w:p>
      <w:pPr>
        <w:ind w:left="0" w:right="0" w:firstLine="560"/>
        <w:jc w:val="both"/>
        <w:spacing w:before="0" w:after="0" w:line="49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磋商小组采用综合评分法对供应商的响应文件和最后报价进行综合评分。磋商小组根据综合评分情况，按照评审得分由高到低顺序推荐</w:t>
      </w: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名以上成交候选供应商，并编写评审报告。</w:t>
      </w:r>
      <w:r/>
    </w:p>
    <w:p>
      <w:pPr>
        <w:ind w:left="0" w:right="0" w:firstLine="0"/>
        <w:jc w:val="both"/>
        <w:spacing w:before="0" w:after="0" w:line="49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7.</w:t>
      </w:r>
      <w:r>
        <w:rPr>
          <w:rFonts w:ascii="SimHei" w:hAnsi="SimHei" w:eastAsia="SimHei" w:cs="SimHei"/>
          <w:b/>
          <w:color w:val="000000"/>
          <w:sz w:val="28"/>
        </w:rPr>
        <w:t xml:space="preserve">确定成交供应商</w:t>
      </w:r>
      <w:r/>
    </w:p>
    <w:p>
      <w:pPr>
        <w:ind w:left="0" w:right="0" w:firstLine="560"/>
        <w:jc w:val="both"/>
        <w:spacing w:before="0" w:after="0" w:line="49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采购人从磋商小组提出的成交候选人中根据符合采购需求且评审得分最高的原则确定成交供应商，并将结果通知所有参加磋商的未成交的供应商。</w:t>
      </w:r>
      <w:r/>
    </w:p>
    <w:p>
      <w:pPr>
        <w:ind w:left="0" w:right="0" w:firstLine="0"/>
        <w:jc w:val="both"/>
        <w:spacing w:before="0" w:after="0" w:line="49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8.</w:t>
      </w:r>
      <w:r>
        <w:rPr>
          <w:rFonts w:ascii="SimHei" w:hAnsi="SimHei" w:eastAsia="SimHei" w:cs="SimHei"/>
          <w:b/>
          <w:color w:val="000000"/>
          <w:sz w:val="28"/>
        </w:rPr>
        <w:t xml:space="preserve">澄清、说明或补正</w:t>
      </w:r>
      <w:r/>
    </w:p>
    <w:p>
      <w:pPr>
        <w:ind w:left="0" w:right="0" w:firstLine="560"/>
        <w:jc w:val="both"/>
        <w:spacing w:before="0" w:after="0" w:line="49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8.1</w:t>
      </w:r>
      <w:r>
        <w:rPr>
          <w:rFonts w:ascii="FangSong" w:hAnsi="FangSong" w:eastAsia="FangSong" w:cs="FangSong"/>
          <w:color w:val="000000"/>
          <w:sz w:val="28"/>
        </w:rPr>
        <w:t xml:space="preserve">磋商小组在评审过程中，可以要求供应商对响应文件中含义不明确、同类问题表述不一致或者有明显文字和计算错误的内容等作出必要的澄清、说明或者更正。</w:t>
      </w:r>
      <w:r/>
    </w:p>
    <w:p>
      <w:pPr>
        <w:ind w:left="0" w:right="0" w:firstLine="560"/>
        <w:jc w:val="both"/>
        <w:spacing w:before="0" w:after="0" w:line="49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8.2</w:t>
      </w:r>
      <w:r>
        <w:rPr>
          <w:rFonts w:ascii="FangSong" w:hAnsi="FangSong" w:eastAsia="FangSong" w:cs="FangSong"/>
          <w:color w:val="000000"/>
          <w:sz w:val="28"/>
        </w:rPr>
        <w:t xml:space="preserve">磋商小组要求供应商澄清、说明或者更正响应文件应当以书面形式作出。</w:t>
      </w:r>
      <w:r/>
    </w:p>
    <w:p>
      <w:pPr>
        <w:ind w:left="0" w:right="0" w:firstLine="560"/>
        <w:jc w:val="both"/>
        <w:spacing w:before="0" w:after="0" w:line="49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8.3</w:t>
      </w:r>
      <w:r>
        <w:rPr>
          <w:rFonts w:ascii="FangSong" w:hAnsi="FangSong" w:eastAsia="FangSong" w:cs="FangSong"/>
          <w:color w:val="000000"/>
          <w:sz w:val="28"/>
        </w:rPr>
        <w:t xml:space="preserve">供应商的澄清、说明或者更正应当由法定代表人或其授权代表签字或者加盖公章。由授权代表签字的，应当附法定代表人授权书。供应商的书面澄清材料作为响应文件的补充。</w:t>
      </w:r>
      <w:r/>
    </w:p>
    <w:p>
      <w:pPr>
        <w:ind w:left="0" w:right="0" w:firstLine="560"/>
        <w:jc w:val="both"/>
        <w:spacing w:before="0" w:after="0" w:line="49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8.4</w:t>
      </w:r>
      <w:r>
        <w:rPr>
          <w:rFonts w:ascii="FangSong" w:hAnsi="FangSong" w:eastAsia="FangSong" w:cs="FangSong"/>
          <w:color w:val="000000"/>
          <w:sz w:val="28"/>
        </w:rPr>
        <w:t xml:space="preserve">供应商的澄清、说明或者更正不得超出响应文件的范围或者改变响应文件的实质性内容。</w:t>
      </w:r>
      <w:r/>
    </w:p>
    <w:p>
      <w:pPr>
        <w:ind w:left="0" w:right="0" w:firstLine="560"/>
        <w:jc w:val="both"/>
        <w:spacing w:before="0" w:after="0" w:line="49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8.5</w:t>
      </w:r>
      <w:r>
        <w:rPr>
          <w:rFonts w:ascii="FangSong" w:hAnsi="FangSong" w:eastAsia="FangSong" w:cs="FangSong"/>
          <w:color w:val="000000"/>
          <w:sz w:val="28"/>
        </w:rPr>
        <w:t xml:space="preserve">磋商小组不得接受供应商主动提出的澄清、说明或补正。</w:t>
      </w:r>
      <w:r/>
    </w:p>
    <w:p>
      <w:pPr>
        <w:ind w:left="0" w:right="0" w:firstLine="0"/>
        <w:jc w:val="both"/>
        <w:spacing w:before="0" w:after="0" w:line="49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9.</w:t>
      </w:r>
      <w:r>
        <w:rPr>
          <w:rFonts w:ascii="SimHei" w:hAnsi="SimHei" w:eastAsia="SimHei" w:cs="SimHei"/>
          <w:b/>
          <w:color w:val="000000"/>
          <w:sz w:val="28"/>
        </w:rPr>
        <w:t xml:space="preserve">评审过程中特殊情况的处理规定</w:t>
      </w:r>
      <w:r/>
    </w:p>
    <w:p>
      <w:pPr>
        <w:ind w:left="0" w:right="0" w:firstLine="0"/>
        <w:jc w:val="both"/>
        <w:spacing w:before="0" w:after="0" w:line="49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9.1</w:t>
      </w:r>
      <w:r>
        <w:rPr>
          <w:rFonts w:ascii="KaiTi" w:hAnsi="KaiTi" w:eastAsia="KaiTi" w:cs="KaiTi"/>
          <w:b/>
          <w:color w:val="000000"/>
          <w:sz w:val="28"/>
        </w:rPr>
        <w:t xml:space="preserve">磋商小组成员的更换</w:t>
      </w:r>
      <w:r/>
    </w:p>
    <w:p>
      <w:pPr>
        <w:ind w:left="0" w:right="0" w:firstLine="560"/>
        <w:jc w:val="both"/>
        <w:spacing w:before="0" w:after="0" w:line="49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9.1.1</w:t>
      </w:r>
      <w:r>
        <w:rPr>
          <w:rFonts w:ascii="FangSong" w:hAnsi="FangSong" w:eastAsia="FangSong" w:cs="FangSong"/>
          <w:color w:val="000000"/>
          <w:sz w:val="28"/>
        </w:rPr>
        <w:t xml:space="preserve">评审过程中，因磋商小组成员缺席、回避或者健康等特殊原因导致磋商小组组成不符合规定的，采购人将依法补足后继续评审。被更换的磋商小组成员所作出的评审意见无效。</w:t>
      </w:r>
      <w:r>
        <w:rPr>
          <w:rFonts w:ascii="Times New Roman" w:hAnsi="Times New Roman" w:eastAsia="Times New Roman" w:cs="Times New Roman"/>
          <w:color w:val="000000"/>
          <w:sz w:val="28"/>
        </w:rPr>
        <w:t xml:space="preserve"> </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9.1.2</w:t>
      </w:r>
      <w:r>
        <w:rPr>
          <w:rFonts w:ascii="FangSong" w:hAnsi="FangSong" w:eastAsia="FangSong" w:cs="FangSong"/>
          <w:color w:val="000000"/>
          <w:sz w:val="28"/>
        </w:rPr>
        <w:t xml:space="preserve">无法及时补足磋商小组成员的，采购人将停止评审活动，封存所有资料，依法重新组建磋商小组进行评审。原磋商小组所作出的评审意见无效。</w:t>
      </w:r>
      <w:r/>
    </w:p>
    <w:p>
      <w:pPr>
        <w:ind w:left="0" w:right="0" w:firstLine="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9.2</w:t>
      </w:r>
      <w:r>
        <w:rPr>
          <w:rFonts w:ascii="KaiTi" w:hAnsi="KaiTi" w:eastAsia="KaiTi" w:cs="KaiTi"/>
          <w:b/>
          <w:color w:val="000000"/>
          <w:sz w:val="28"/>
        </w:rPr>
        <w:t xml:space="preserve">异常低价的处理</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磋商小组认为供应商的报价明显低于其他供应商的报价，有可能影响服务质量或者不能诚信履约的，应当要求其在评审现场合理的时间内提供书面说明，必要时提交相关证明材料；供应商不能证明其报价合理性的，磋商小组应当将其作为无效报价处理。</w:t>
      </w:r>
      <w:r/>
    </w:p>
    <w:p>
      <w:pPr>
        <w:ind w:left="0" w:right="0" w:firstLine="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9.3</w:t>
      </w:r>
      <w:r>
        <w:rPr>
          <w:rFonts w:ascii="KaiTi" w:hAnsi="KaiTi" w:eastAsia="KaiTi" w:cs="KaiTi"/>
          <w:b/>
          <w:color w:val="000000"/>
          <w:sz w:val="28"/>
        </w:rPr>
        <w:t xml:space="preserve">争议解决</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磋商小组成员对需要共同认定的事项存在争议的，按照少数服从多数的原则作出结论。持不同意见的成员须在评审报告上签署不同意见及理由。</w:t>
      </w:r>
      <w:r/>
    </w:p>
    <w:p>
      <w:pPr>
        <w:ind w:left="0" w:right="0" w:firstLine="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9.4</w:t>
      </w:r>
      <w:r>
        <w:rPr>
          <w:rFonts w:ascii="KaiTi" w:hAnsi="KaiTi" w:eastAsia="KaiTi" w:cs="KaiTi"/>
          <w:b/>
          <w:color w:val="000000"/>
          <w:sz w:val="28"/>
        </w:rPr>
        <w:t xml:space="preserve">评审终止</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磋商小组发现采购文件存在歧义、重大缺陷导致评审工作无法进行，或者采购文件内容违反国家有关强制性规定的，应当停止评审工作，与采购人沟通并作书面记录。采购人确认后，终止评审活动。</w:t>
      </w:r>
      <w:r/>
    </w:p>
    <w:p>
      <w:pPr>
        <w:ind w:left="0" w:right="0" w:firstLine="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9.5</w:t>
      </w:r>
      <w:r>
        <w:rPr>
          <w:rFonts w:ascii="KaiTi" w:hAnsi="KaiTi" w:eastAsia="KaiTi" w:cs="KaiTi"/>
          <w:b/>
          <w:color w:val="000000"/>
          <w:sz w:val="28"/>
        </w:rPr>
        <w:t xml:space="preserve">得分相同</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评审得分相同的，最后报价低的优先；评审得分且最后报价相同的，技术指标得分高的优先；评审得分、最后报价和技术指标得分均相同的，采购人随机抽取方式确定。</w:t>
      </w:r>
      <w:r/>
    </w:p>
    <w:p>
      <w:pPr>
        <w:ind w:left="0" w:right="0" w:firstLine="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9.6</w:t>
      </w:r>
      <w:r>
        <w:rPr>
          <w:rFonts w:ascii="KaiTi" w:hAnsi="KaiTi" w:eastAsia="KaiTi" w:cs="KaiTi"/>
          <w:b/>
          <w:color w:val="000000"/>
          <w:sz w:val="28"/>
        </w:rPr>
        <w:t xml:space="preserve">评审报告签署</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评审报告应当由磋商小组全体人员签字认可。磋商小组成员对评审报告有异议的，应当在报告上签署不同意见并说明理由，由磋商小组书面记录相关情况。磋商小组成员拒绝在报告上签字又不书面说明其不同意见和理由的，视为同意评审报告。</w:t>
      </w:r>
      <w:r/>
    </w:p>
    <w:p>
      <w:pPr>
        <w:ind w:left="0" w:right="0" w:firstLine="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10.</w:t>
      </w:r>
      <w:r>
        <w:rPr>
          <w:rFonts w:ascii="SimHei" w:hAnsi="SimHei" w:eastAsia="SimHei" w:cs="SimHei"/>
          <w:b/>
          <w:color w:val="000000"/>
          <w:sz w:val="28"/>
        </w:rPr>
        <w:t xml:space="preserve">判定无效响应的规定</w:t>
      </w:r>
      <w:r/>
    </w:p>
    <w:p>
      <w:pPr>
        <w:ind w:left="0" w:right="0" w:firstLine="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10.1</w:t>
      </w:r>
      <w:r>
        <w:rPr>
          <w:rFonts w:ascii="KaiTi" w:hAnsi="KaiTi" w:eastAsia="KaiTi" w:cs="KaiTi"/>
          <w:b/>
          <w:color w:val="000000"/>
          <w:sz w:val="28"/>
        </w:rPr>
        <w:t xml:space="preserve">响应文件开启过程中，有下列情形之一的，作无效响应处理。</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10.1.1</w:t>
      </w:r>
      <w:r>
        <w:rPr>
          <w:rFonts w:ascii="FangSong" w:hAnsi="FangSong" w:eastAsia="FangSong" w:cs="FangSong"/>
          <w:color w:val="000000"/>
          <w:sz w:val="28"/>
        </w:rPr>
        <w:t xml:space="preserve">响应文件无法解密；</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10.1.2</w:t>
      </w:r>
      <w:r>
        <w:rPr>
          <w:rFonts w:ascii="FangSong" w:hAnsi="FangSong" w:eastAsia="FangSong" w:cs="FangSong"/>
          <w:color w:val="000000"/>
          <w:sz w:val="28"/>
        </w:rPr>
        <w:t xml:space="preserve">响应文件未在规定的时间内解密成功。</w:t>
      </w:r>
      <w:r/>
    </w:p>
    <w:p>
      <w:pPr>
        <w:ind w:left="0" w:right="0" w:firstLine="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10.2</w:t>
      </w:r>
      <w:r>
        <w:rPr>
          <w:rFonts w:ascii="KaiTi" w:hAnsi="KaiTi" w:eastAsia="KaiTi" w:cs="KaiTi"/>
          <w:b/>
          <w:color w:val="000000"/>
          <w:sz w:val="28"/>
        </w:rPr>
        <w:t xml:space="preserve">资格审查结果为不合格的，作无效响应处理。</w:t>
      </w:r>
      <w:r/>
    </w:p>
    <w:p>
      <w:pPr>
        <w:ind w:left="0" w:right="0" w:firstLine="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10.3</w:t>
      </w:r>
      <w:r>
        <w:rPr>
          <w:rFonts w:ascii="KaiTi" w:hAnsi="KaiTi" w:eastAsia="KaiTi" w:cs="KaiTi"/>
          <w:b/>
          <w:color w:val="000000"/>
          <w:sz w:val="28"/>
        </w:rPr>
        <w:t xml:space="preserve">评审过程中，有下列情形之一的，作无效响应处理。</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10.3.1</w:t>
      </w:r>
      <w:r>
        <w:rPr>
          <w:rFonts w:ascii="FangSong" w:hAnsi="FangSong" w:eastAsia="FangSong" w:cs="FangSong"/>
          <w:color w:val="000000"/>
          <w:sz w:val="28"/>
        </w:rPr>
        <w:t xml:space="preserve">未按照磋商小组要求提供书面说明及相关证明材料证明其报价合理性的；</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10.3.2</w:t>
      </w:r>
      <w:r>
        <w:rPr>
          <w:rFonts w:ascii="FangSong" w:hAnsi="FangSong" w:eastAsia="FangSong" w:cs="FangSong"/>
          <w:color w:val="000000"/>
          <w:sz w:val="28"/>
        </w:rPr>
        <w:t xml:space="preserve">响应文件含有采购人不能接受的附加条件的。</w:t>
      </w:r>
      <w:r/>
    </w:p>
    <w:p>
      <w:pPr>
        <w:ind w:left="0" w:right="0" w:firstLine="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10.4</w:t>
      </w:r>
      <w:r>
        <w:rPr>
          <w:rFonts w:ascii="KaiTi" w:hAnsi="KaiTi" w:eastAsia="KaiTi" w:cs="KaiTi"/>
          <w:b/>
          <w:color w:val="000000"/>
          <w:sz w:val="28"/>
        </w:rPr>
        <w:t xml:space="preserve">法律、法规规定的其他无效响应情形。</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44"/>
        </w:rPr>
        <w:t xml:space="preserve">第四章合同条款</w:t>
      </w:r>
      <w:r/>
    </w:p>
    <w:p>
      <w:pPr>
        <w:ind w:left="0" w:right="0" w:firstLine="560"/>
        <w:jc w:val="both"/>
        <w:spacing w:before="0" w:after="0" w:line="558"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560"/>
        <w:jc w:val="both"/>
        <w:spacing w:before="0" w:after="0" w:line="558"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一、通用合同条款部分</w:t>
      </w:r>
      <w:r/>
    </w:p>
    <w:p>
      <w:pPr>
        <w:ind w:left="0" w:right="0" w:firstLine="562"/>
        <w:jc w:val="both"/>
        <w:spacing w:before="0" w:after="0" w:line="499"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1.定义</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本合同中的下列术语应解释为：</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1.1“合同”系指买方、见证方与卖方签署的、合同格式中载明的买方与卖方所达成的协议，包括所有的附件、附录和构成合同的所有文件。</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1.2“合同价”系指根据合同规定，卖方在正确地完全履行合同义务后买方应支付给卖方的价格。</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1.3“服务”系指根据合同规定卖方承担与供货有关所有的辅助服务，如运输、保险以及其它的伴随服务，比如安装、调试、测试、提供技术服务、培训和其他所有的卖方应承担的义务。</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1.4“买方”系指购买服务的              。</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1.5“卖方”系指提供服务的中标供应商。</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1.6“见证方”系指采购人。</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1.7“采购人”系指购买服务的               。</w:t>
      </w:r>
      <w:r/>
    </w:p>
    <w:p>
      <w:pPr>
        <w:ind w:left="0" w:right="0" w:firstLine="562"/>
        <w:jc w:val="both"/>
        <w:spacing w:before="0" w:after="0" w:line="499"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2.技术规范</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卖方所提供服务的技术规格、内容应与招标文件规定的业务要求相一致；若技术性能无相应说明，则按国家有关部门最新颁布的标准及规范为准。</w:t>
      </w:r>
      <w:r/>
    </w:p>
    <w:p>
      <w:pPr>
        <w:ind w:left="0" w:right="0" w:firstLine="562"/>
        <w:jc w:val="both"/>
        <w:spacing w:before="0" w:after="0" w:line="499"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3.专利权及版权</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中标单位对买方提供的业务资料、技术资料应严格保密，不得扩散。卖方应保证买方在使用、接受本合同货物和服务或其任何一部分时不受卖方及第三方提出侵犯其专利权、版权、商标权和工业设计权等知识产权的起诉。一旦出现侵权，由卖方负全部责任。</w:t>
      </w:r>
      <w:r/>
    </w:p>
    <w:p>
      <w:pPr>
        <w:ind w:left="0" w:right="0" w:firstLine="562"/>
        <w:jc w:val="both"/>
        <w:spacing w:before="0" w:after="0" w:line="499"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4.付款方式</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4.1本合同以人民币付款。</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4.2付款方式见合同专用条款。</w:t>
      </w:r>
      <w:r/>
    </w:p>
    <w:p>
      <w:pPr>
        <w:ind w:left="0" w:right="0" w:firstLine="562"/>
        <w:jc w:val="both"/>
        <w:spacing w:before="0" w:after="0" w:line="499"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5.伴随服务</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5.1卖方应按照投标文件的承诺和合同中所附的服务承诺提供服务。</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5.2除本章第5.1条规定外，卖方还应提供下列服务：</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5.2.1服务的现场质量管理与监督；</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5.2.2提供服务和维护所需的工具；</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5.2.3在合同中卖方承诺的期限内对所提供服务实施运行监督、维护，但前提条件是该服务并不能免除卖方在质量保证期内应承担的义务；</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5.2.4对服务人员进行培训。</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5.3伴随服务的费用应含在合同价中，不单独进行支付。</w:t>
      </w:r>
      <w:r/>
    </w:p>
    <w:p>
      <w:pPr>
        <w:ind w:left="0" w:right="0" w:firstLine="562"/>
        <w:jc w:val="both"/>
        <w:spacing w:before="0" w:after="0" w:line="499"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6.质量保证</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6.1供应商所提供服务必须遵守各种国家和部颁标准及有关规定。</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6.2供应商所提供服务必须达到本招标文件中规定的要求。</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6.3履行本合同的过程中，确因在现有水平和条件下难以克服的技术困难，导致部分或全部达不到招标规定的服务标准，乙方应当承担违约责任。</w:t>
      </w:r>
      <w:r/>
    </w:p>
    <w:p>
      <w:pPr>
        <w:ind w:left="0" w:right="0" w:firstLine="562"/>
        <w:jc w:val="both"/>
        <w:spacing w:before="0" w:after="0" w:line="499"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7.不可抗力</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7.1尽管有合同条款第11条、12条的规定，如果卖方因不可抗力而导致合同实施延误或不能履行合同义务的话，不应该被没收履约保证金，也不应该承担误期赔偿的责任。</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7.2本条所述的“不可抗力”系指那些卖方无法控制、不可预见的事件，但不包括卖方的违约或疏忽。这些事件包括：战争、严重火灾、洪水、台风、地震以及其它买方和卖方商定的事件。</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7.3在不可抗力事件发生后，卖方应尽快以书面形式将不可抗力的情况和原因通知买方。除买方书面另行要求外，卖方应尽实际可能继续履行合同义务，以及寻求采取合理的方案履行不受不可抗力影响的其他事项。如果不可抗力事件影响时间持续</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天以上时，买方有权终止与卖方的合同，买方也可以和卖方通过友好协商在合理的时间内达成进一步履行合同的协议。</w:t>
      </w:r>
      <w:r/>
    </w:p>
    <w:p>
      <w:pPr>
        <w:ind w:left="0" w:right="0" w:firstLine="562"/>
        <w:jc w:val="both"/>
        <w:spacing w:before="0" w:after="0" w:line="499"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8.税费</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本项目实施过程中发生的一切税费均由卖方承担。</w:t>
      </w:r>
      <w:r/>
    </w:p>
    <w:p>
      <w:pPr>
        <w:ind w:left="0" w:right="0" w:firstLine="562"/>
        <w:jc w:val="both"/>
        <w:spacing w:before="0" w:after="0" w:line="499"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9.履约保证金</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9.1成交供应商与采购人签订政府采购合同前，须提交履约保证金，否则视为放弃中标，给采购人造成损失的，成交供应商还应当予以赔偿。</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履约保证金的形式：支票、汇票、本票或者金融机构、担保机构出具的保函等非现金形式。</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履约保证金的金额：/</w:t>
      </w:r>
      <w:r>
        <w:rPr>
          <w:rFonts w:ascii="FangSong" w:hAnsi="FangSong" w:eastAsia="FangSong" w:cs="FangSong"/>
          <w:color w:val="000000"/>
          <w:sz w:val="28"/>
        </w:rPr>
        <w:t xml:space="preserve">。</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9.2如卖方未能履行合同规定的义务，买方有权从履约保证金中取得补偿。</w:t>
      </w:r>
      <w:r/>
    </w:p>
    <w:p>
      <w:pPr>
        <w:ind w:left="0" w:right="0" w:firstLine="562"/>
        <w:jc w:val="both"/>
        <w:spacing w:before="0" w:after="0" w:line="499"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10.仲裁</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10.1在执行本合同中所发生的或与本合同有关的一切争议，买方和卖方应通过友好协商的办法进行解决。如从协商开始</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天内仍不能解决，应将争议提交有关省、市政府或行业主管部门寻求可能解决的办法。如果提交有关省、市政府或行业主管部门后</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天内仍得不到解决，则应申请仲裁。</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10.2仲裁应根据《中华人民共和国仲裁法》的规定向泰州仲裁委员会申请仲裁。</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10.3仲裁裁决为最终裁决，对买方和卖方均有约束力。</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10.4在仲裁期间，本合同应继续执行。</w:t>
      </w:r>
      <w:r/>
    </w:p>
    <w:p>
      <w:pPr>
        <w:ind w:left="0" w:right="0" w:firstLine="562"/>
        <w:jc w:val="both"/>
        <w:spacing w:before="0" w:after="0" w:line="499"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11.违约终止合同</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11.1在买方对卖方违约而采取的任何补救措施不受影响的情况下，买方可向卖方发出终止部分或全部合同的书面通知书。</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11.1.1如果卖方未能按合同规定的期限或买方同意延长的限期内提供部分或全部服务；</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11.1.2卖方在收到买方发出的违约通知后</w:t>
      </w:r>
      <w:r>
        <w:rPr>
          <w:rFonts w:ascii="FangSong" w:hAnsi="FangSong" w:eastAsia="FangSong" w:cs="FangSong"/>
          <w:color w:val="000000"/>
          <w:sz w:val="28"/>
          <w:u w:val="single"/>
        </w:rPr>
        <w:t xml:space="preserve">  60  </w:t>
      </w:r>
      <w:r>
        <w:rPr>
          <w:rFonts w:ascii="FangSong" w:hAnsi="FangSong" w:eastAsia="FangSong" w:cs="FangSong"/>
          <w:color w:val="000000"/>
          <w:sz w:val="28"/>
        </w:rPr>
        <w:t xml:space="preserve">天内，或经买方书面认可延长的时间内未能纠正其过失；</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11.1.3如果卖方未能履行合同规定的其他义务。</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11.2在买方根据上述规定，终止了全部或部分合同后，买方可以依其认为适当的条件和方法购买与未提供服务类似的服务，卖方应对买方购买类似服务所超出的那部分费用负责。但是，卖方应继续执行合同中未终止的部分。</w:t>
      </w:r>
      <w:r/>
    </w:p>
    <w:p>
      <w:pPr>
        <w:ind w:left="0" w:right="0" w:firstLine="562"/>
        <w:jc w:val="both"/>
        <w:spacing w:before="0" w:after="0" w:line="499"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12.破产中止合同</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12.1如果卖方破产或无清偿能力时，买方在任何时候书面通知卖方中止合同而不给卖方补偿。该中止合同将不损害或影响买方已经或将要采取的补救措施的权利。</w:t>
      </w:r>
      <w:r/>
    </w:p>
    <w:p>
      <w:pPr>
        <w:ind w:left="0" w:right="0" w:firstLine="562"/>
        <w:jc w:val="both"/>
        <w:spacing w:before="0" w:after="0" w:line="499"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13.转让</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13.1除买方事先书面同意外，卖方不得部分转让或全部转让其应履行的合同义务。</w:t>
      </w:r>
      <w:r/>
    </w:p>
    <w:p>
      <w:pPr>
        <w:ind w:left="0" w:right="0" w:firstLine="562"/>
        <w:jc w:val="both"/>
        <w:spacing w:before="0" w:after="0" w:line="499"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14.合同生效及其它</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14.1合同应在买方、卖方、见证方签字，并在卖方向见证方交纳履约保证金后生效。</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14.2本合同一式</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份，以中文书写，买方</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份，卖方、见证方、各执</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份。</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14.3如需修改或补充合同内容，应经买方、卖方、见证方协商一致，签署书面修改或补充协议。该协议将作为本合同不可分割的一部分。</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14.4本合同应按照中华人民共和国的现行法律进行解释。</w:t>
      </w:r>
      <w:r/>
    </w:p>
    <w:p>
      <w:pPr>
        <w:ind w:left="0" w:right="0" w:firstLine="562"/>
        <w:jc w:val="both"/>
        <w:spacing w:before="0" w:after="0" w:line="558"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 </w:t>
      </w:r>
      <w:r/>
    </w:p>
    <w:p>
      <w:pPr>
        <w:ind w:left="0" w:right="0" w:firstLine="560"/>
        <w:jc w:val="both"/>
        <w:spacing w:before="0" w:after="0" w:line="558"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二、专用合同条款部分</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甲方:</w:t>
      </w:r>
      <w:r>
        <w:rPr>
          <w:rFonts w:ascii="FangSong" w:hAnsi="FangSong" w:eastAsia="FangSong" w:cs="FangSong"/>
          <w:color w:val="000000"/>
          <w:sz w:val="28"/>
          <w:u w:val="single"/>
        </w:rPr>
        <w:t xml:space="preserve">                           </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乙方:</w:t>
      </w:r>
      <w:r>
        <w:rPr>
          <w:rFonts w:ascii="FangSong" w:hAnsi="FangSong" w:eastAsia="FangSong" w:cs="FangSong"/>
          <w:color w:val="000000"/>
          <w:sz w:val="28"/>
          <w:u w:val="single"/>
        </w:rPr>
        <w:t xml:space="preserve">                           </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甲乙双方根据政府采购编号</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的</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项目采购结果及招标文件的要求,经协商一致,达成如下采购服务合同:</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根据《中华人民共和国政府采购法》《中华人民共和国民法典》和相关行业法律法规等法律法规的规定，甲乙双方按照**的招标结果签订本合同。</w:t>
      </w:r>
      <w:r/>
    </w:p>
    <w:p>
      <w:pPr>
        <w:ind w:left="0" w:right="0" w:firstLine="562"/>
        <w:jc w:val="both"/>
        <w:spacing w:before="0" w:after="0" w:line="558"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1.项目概况</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1.1项目名称：</w:t>
      </w:r>
      <w:r>
        <w:rPr>
          <w:rFonts w:ascii="FangSong" w:hAnsi="FangSong" w:eastAsia="FangSong" w:cs="FangSong"/>
          <w:color w:val="000000"/>
          <w:sz w:val="28"/>
          <w:u w:val="single"/>
        </w:rPr>
        <w:t xml:space="preserve">                       </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1.2项目地点：</w:t>
      </w:r>
      <w:r>
        <w:rPr>
          <w:rFonts w:ascii="FangSong" w:hAnsi="FangSong" w:eastAsia="FangSong" w:cs="FangSong"/>
          <w:color w:val="000000"/>
          <w:sz w:val="28"/>
          <w:u w:val="single"/>
        </w:rPr>
        <w:t xml:space="preserve">                       </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1.3项目内容：</w:t>
      </w:r>
      <w:r>
        <w:rPr>
          <w:rFonts w:ascii="FangSong" w:hAnsi="FangSong" w:eastAsia="FangSong" w:cs="FangSong"/>
          <w:color w:val="000000"/>
          <w:sz w:val="28"/>
          <w:u w:val="single"/>
        </w:rPr>
        <w:t xml:space="preserve">                       </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1.4合同价款：</w:t>
      </w:r>
      <w:r>
        <w:rPr>
          <w:rFonts w:ascii="FangSong" w:hAnsi="FangSong" w:eastAsia="FangSong" w:cs="FangSong"/>
          <w:color w:val="000000"/>
          <w:sz w:val="28"/>
          <w:u w:val="single"/>
        </w:rPr>
        <w:t xml:space="preserve">                       </w:t>
      </w:r>
      <w:r/>
    </w:p>
    <w:p>
      <w:pPr>
        <w:ind w:left="0" w:right="0" w:firstLine="562"/>
        <w:jc w:val="both"/>
        <w:spacing w:before="0" w:after="0" w:line="558"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2.定义</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l“合同”系指甲方和乙方（以下简称合同双方）签署的、合同格式中列明的合同双方所达成的协议，包括所有的附件、附录、招标、投标文件全部内容及对招、投标文件书面修正、澄清的内容等以及构成合同的所有文件。</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2.2“合同价格”系指根据合同规定，在乙方全面正确地履行合同义务后甲方应支付给乙方的价格。</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2.3“甲方”系指采购人。</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2.4“乙方”系指成交供应商。</w:t>
      </w:r>
      <w:r/>
    </w:p>
    <w:p>
      <w:pPr>
        <w:ind w:left="0" w:right="0" w:firstLine="562"/>
        <w:jc w:val="both"/>
        <w:spacing w:before="0" w:after="0" w:line="558"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3.适用范围</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本合同条款适用于本次招标项目。</w:t>
      </w:r>
      <w:r/>
    </w:p>
    <w:p>
      <w:pPr>
        <w:ind w:left="0" w:right="0" w:firstLine="562"/>
        <w:jc w:val="both"/>
        <w:spacing w:before="0" w:after="0" w:line="558"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4.服务工作执行技术标准、验收标准及工期：</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4.1技术标准与招标文件一致。</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4.2验收时间及标准：</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4.3项目履行期限：</w:t>
      </w:r>
      <w:r/>
    </w:p>
    <w:p>
      <w:pPr>
        <w:ind w:left="0" w:right="0" w:firstLine="562"/>
        <w:jc w:val="both"/>
        <w:spacing w:before="0" w:after="0" w:line="558"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5.项目经费来源、价款以及支付方式</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5.1经费来源： </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5.2项目价款： </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5.2.1***</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5.2.2***</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5.3支付方式、时间、条件： </w:t>
      </w:r>
      <w:r/>
    </w:p>
    <w:p>
      <w:pPr>
        <w:ind w:left="0" w:right="0" w:firstLine="562"/>
        <w:jc w:val="both"/>
        <w:spacing w:before="0" w:after="0" w:line="558"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6.甲方的义务</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6.1负责本项目的组织协商，配合乙方做好相关工作。</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6.2足额向乙方支付经费。</w:t>
      </w:r>
      <w:r/>
    </w:p>
    <w:p>
      <w:pPr>
        <w:ind w:left="0" w:right="0" w:firstLine="562"/>
        <w:jc w:val="both"/>
        <w:spacing w:before="0" w:after="0" w:line="558"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7.乙方义务</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严格按照甲方的委托要求独立开展工作，并保证及时高质量完成甲方委托任务，具体事项有：</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7.1</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7.2</w:t>
      </w:r>
      <w:r>
        <w:rPr>
          <w:rFonts w:ascii="FangSong" w:hAnsi="FangSong" w:eastAsia="FangSong" w:cs="FangSong"/>
          <w:color w:val="000000"/>
          <w:sz w:val="28"/>
          <w:u w:val="single"/>
        </w:rPr>
        <w:t xml:space="preserve">（如有，另行协商）</w:t>
      </w:r>
      <w:r>
        <w:rPr>
          <w:rFonts w:ascii="FangSong" w:hAnsi="FangSong" w:eastAsia="FangSong" w:cs="FangSong"/>
          <w:color w:val="000000"/>
          <w:sz w:val="28"/>
        </w:rPr>
        <w:t xml:space="preserve">。</w:t>
      </w:r>
      <w:r/>
    </w:p>
    <w:p>
      <w:pPr>
        <w:ind w:left="0" w:right="0" w:firstLine="562"/>
        <w:jc w:val="both"/>
        <w:spacing w:before="0" w:after="0" w:line="558"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8.其他</w:t>
      </w:r>
      <w:r/>
    </w:p>
    <w:p>
      <w:pPr>
        <w:ind w:left="0" w:right="0" w:firstLine="562"/>
        <w:jc w:val="both"/>
        <w:spacing w:before="0" w:after="0" w:line="558"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9.履约保证金</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9.1成交供应商与采购人签订政府采购合同前，须提交履约保证金，否则视为放弃中标，给采购人造成损失的，成交供应商还应当予以赔偿。</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履约保证金的形式：支票、汇票、本票或者金融机构、担保机构出具的保函等非现金形式。</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履约保证金的金额：/</w:t>
      </w:r>
      <w:r>
        <w:rPr>
          <w:rFonts w:ascii="FangSong" w:hAnsi="FangSong" w:eastAsia="FangSong" w:cs="FangSong"/>
          <w:color w:val="000000"/>
          <w:sz w:val="28"/>
        </w:rPr>
        <w:t xml:space="preserve">。</w:t>
      </w:r>
      <w:r/>
    </w:p>
    <w:p>
      <w:pPr>
        <w:ind w:left="0" w:right="0" w:firstLine="0"/>
        <w:jc w:val="both"/>
        <w:spacing w:before="240" w:after="12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履约保证金退还方式、时间、条件：</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9.2如卖方未能履行合同规定的义务，买方有权从履约保证金中取得补偿。</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9.3乙方由于过错而导致支付违约金和赔偿损失时可由履约保证金抵顶支付；当违约金和赔偿金额超过履约保证金时，甲方可追偿超过履约保证金的部分。</w:t>
      </w:r>
      <w:r/>
    </w:p>
    <w:p>
      <w:pPr>
        <w:ind w:left="0" w:right="0" w:firstLine="562"/>
        <w:jc w:val="both"/>
        <w:spacing w:before="0" w:after="0" w:line="558"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10.不可抗力</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10.1签约双方任一方由于受诸如战争、严重火灾、洪水、台风、地震等不可抗力事故的影响而不能执行合同时，履行合同的期限应予以延长，延长的期限应相当于事故所影响的时间。</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10.2受阻一方应在不可抗力事故发生后尽快用电报、传真或电传通知对方，并于事故发生后</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天内将有关当局出具的证明文件用特快专递寄给对方审阅确认。一旦不可抗力事故的影响持续</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天以上，双方（或三方）应通过友好协商在合理的时间内达成是否继续履行合同的协议。</w:t>
      </w:r>
      <w:r/>
    </w:p>
    <w:p>
      <w:pPr>
        <w:ind w:left="0" w:right="0" w:firstLine="562"/>
        <w:jc w:val="both"/>
        <w:spacing w:before="0" w:after="0" w:line="558"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11.税费</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与履行本合同有关的一切税费，由乙方承担。</w:t>
      </w:r>
      <w:r/>
    </w:p>
    <w:p>
      <w:pPr>
        <w:ind w:left="0" w:right="0" w:firstLine="562"/>
        <w:jc w:val="both"/>
        <w:spacing w:before="0" w:after="0" w:line="558"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12.争议</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12.1在执行本合同中发生的或与本合同有关的争议，双方应通过友好协商解决。经协商不能达成协议时，可向泰兴市仲裁委员会按其仲裁规则申请仲裁。若仲裁不成功，向合同签约地的人民法院提请诉讼。</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12.2在仲裁和诉讼期间，双方应继续履行争议部分以外的合同内容。</w:t>
      </w:r>
      <w:r/>
    </w:p>
    <w:p>
      <w:pPr>
        <w:ind w:left="0" w:right="0" w:firstLine="562"/>
        <w:jc w:val="both"/>
        <w:spacing w:before="0" w:after="0" w:line="558"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13.违约终止合同</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13.1违约责任</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有下列情况之一的，甲方有权终止协议：</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13.1.1乙方未能按上级要求造成结果失真或未能按进保质完成甲方委托任务的。</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13.1.2乙方违反从业道德，影响甲方声誉或投诉查实的。</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13.2因解除而终止</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13.2.1由于乙方违约造成本合同不能履行或不能完全履行，如果乙方在收到甲方要求其纠正违约的通知后仍不纠正其违约行为，则甲方有权向乙方发出解除本合同的书面通知，该通知自送达乙方时生效，乙方应按本合同的约定承担违约责任。给甲方造成损失的，乙方应承担赔偿责任。</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13.2.2由于甲方违约造成本合同不能履行或不能完全履行，如果甲方在收到乙方要求其纠正违约的通知后仍不纠正其违约行为，则乙方有权向甲方发出解除本合同的书面通知，该通知自送达甲方时生效，甲方应向乙方支付双方确认已完成工作量的款项，并按本合同约定承担违约责任。</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13.2.3合同一方依本合同约定行使解除权的，合同自解除通知送达另一方之日起终止。违约方应当按本合同约定支付违约金或赔偿损失。</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13.2.4合同终止后，不妨碍守约方向违约方追究违约责任。</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13.3甲方未能按规定时限支付评估经费的，每延迟一天，按应付金额的0.1%对乙方进行违约赔偿。</w:t>
      </w:r>
      <w:r/>
    </w:p>
    <w:p>
      <w:pPr>
        <w:ind w:left="0" w:right="0" w:firstLine="562"/>
        <w:jc w:val="both"/>
        <w:spacing w:before="0" w:after="0" w:line="558"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14.变更指示</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14.1甲方有权根据实际需要，在《政府采购法》允许的范围内提出变更要求。</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14.2若上述变更导致了乙方履行合同的费用或履约时间的变化，依据变更通知书对合同造价或项目进度进行合理的调整，工作量变更后的造价在投标报价内的按投标报价执行，不在投标报价内的经甲方审计后确认。乙方必须在接到甲方的变更通知书后一周内根据本款提出调整的实施意见。</w:t>
      </w:r>
      <w:r/>
    </w:p>
    <w:p>
      <w:pPr>
        <w:ind w:left="0" w:right="0" w:firstLine="562"/>
        <w:jc w:val="both"/>
        <w:spacing w:before="0" w:after="0" w:line="558"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15.合同修改</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对合同条款作出任何改动或偏离，均须甲乙双方签署书面的合同修改书。</w:t>
      </w:r>
      <w:r/>
    </w:p>
    <w:p>
      <w:pPr>
        <w:ind w:left="0" w:right="0" w:firstLine="562"/>
        <w:jc w:val="both"/>
        <w:spacing w:before="0" w:after="0" w:line="558"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16.适用法律</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本合同应按中华人民共和国的法律解释。</w:t>
      </w:r>
      <w:r/>
    </w:p>
    <w:p>
      <w:pPr>
        <w:ind w:left="0" w:right="0" w:firstLine="562"/>
        <w:jc w:val="both"/>
        <w:spacing w:before="0" w:after="0" w:line="558"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17.语言与计量单位</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17.1合同书写应用中文。甲乙双方所有的来往函电以及与合同有关的文件均应以中文书写。</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17.2除技术规格中另有规定外，所有计量均采用中华人民共和国法定计量单位。</w:t>
      </w:r>
      <w:r/>
    </w:p>
    <w:p>
      <w:pPr>
        <w:ind w:left="0" w:right="0" w:firstLine="562"/>
        <w:jc w:val="both"/>
        <w:spacing w:before="0" w:after="0" w:line="558"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18.通知</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本合同任何一方给另一方的通知都应以书面形式发送，而另一方应以书面形式确认并发送到对方明确的地址。</w:t>
      </w:r>
      <w:r/>
    </w:p>
    <w:p>
      <w:pPr>
        <w:ind w:left="0" w:right="0" w:firstLine="562"/>
        <w:jc w:val="both"/>
        <w:spacing w:before="0" w:after="0" w:line="558"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19.合同文件及资料的保密</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19.1在未经甲方同意的情况下，乙方不得将合同、合同中的规定、有关研究、设计图纸、式样、样本或甲方为乙方提供的资料透露给任何人。</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19.2除合同本身以外，乙方从甲方处获得的所有资料其知识产权归甲方所有，乙方应于其合同义务履行完毕以后将这些资料（包括所有副本）退还甲方。</w:t>
      </w:r>
      <w:r/>
    </w:p>
    <w:p>
      <w:pPr>
        <w:ind w:left="0" w:right="0" w:firstLine="562"/>
        <w:jc w:val="both"/>
        <w:spacing w:before="0" w:after="0" w:line="558"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20.合同生效及其他</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20.1除合同中另有说明，本合同经双方法定代表人或其委托代理人签字并加盖公章或合同专用章后，即开始生效。</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20.2合同一式肆份，具有同等法律效力。</w:t>
      </w:r>
      <w:r/>
    </w:p>
    <w:p>
      <w:pPr>
        <w:ind w:left="0" w:right="0" w:firstLine="562"/>
        <w:jc w:val="both"/>
        <w:spacing w:before="0" w:after="0" w:line="558"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21.合同文件及解释顺序</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下列文件均为合同组成文件</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21.1招标文件（包括澄清、答疑、修改和补充通知）</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21.2投标文件（包括修改、澄清）</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21.3中标通知书（包括供应商“回执”）</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21.4双方商定的补充协议或合同期内双方签署的备忘录</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21.5双方签署的合同谈判备忘录</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21.6与本合同有关的其他文件</w:t>
      </w:r>
      <w:r/>
    </w:p>
    <w:p>
      <w:pPr>
        <w:ind w:left="0" w:right="0" w:firstLine="562"/>
        <w:jc w:val="both"/>
        <w:spacing w:before="0" w:after="0" w:line="558"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22.合同的变更和终止</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22.1除《政府采购法》第50条第二款规定的情形外，本合同一经签订，甲乙双方不得擅自变更、中止或终止合同。</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22.2除发生法律规定的不能预见、不能避免并不能克服的客观情况外，甲乙双方不得放弃或拒绝履行合同。乙方放弃或拒绝履行合同，在三年内不得参加政府采购活动。</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甲方：（盖章）乙方：（盖章）</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法定代表人法定代表人</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（或授权代理人）：（或授权代理人）：</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单位地址：单位地址：</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邮编：邮编：</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电话：电话：</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传真：传真：</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开户银行：开户银行：</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帐号：帐号：</w:t>
      </w:r>
      <w:r/>
    </w:p>
    <w:p>
      <w:pPr>
        <w:ind w:left="0" w:right="0" w:firstLine="880"/>
        <w:jc w:val="both"/>
        <w:spacing w:before="0" w:after="0" w:line="49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44"/>
        </w:rPr>
        <w:t xml:space="preserve">第五章采购需求</w:t>
      </w:r>
      <w:r/>
    </w:p>
    <w:p>
      <w:pPr>
        <w:ind w:left="0" w:right="0" w:firstLine="0"/>
        <w:jc w:val="both"/>
        <w:spacing w:before="0" w:after="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一、项目简介</w:t>
      </w:r>
      <w:r/>
    </w:p>
    <w:p>
      <w:pPr>
        <w:ind w:left="0" w:right="0" w:firstLine="64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本次采购范围为居住在泰兴市济川、延令街道及异地（泰兴市外）居住65周岁以下已纳入社会化管理的企业退休人员健康体检。</w:t>
      </w:r>
      <w:r/>
    </w:p>
    <w:p>
      <w:pPr>
        <w:ind w:left="0" w:right="0" w:firstLine="636"/>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泰兴市退休人员社会化管理服务中心对居住在泰兴市济川、延令街道及异地（泰兴市外）居住65周岁以下，已纳入泰兴市社会化管理的企业退休人员健康体检项目实施公开招标采购，济川街道片区、延令街道片区各选一家评分最高的我市具备有卫生行政部门审批的医疗机构执行许可证，且为我市医保定点医疗机构作为体检定点机构，服务期为2026年、2028年。2026年应参检人数为33591人（济川街道9846人，延令街道21880人，异地居住1865人），本次体检标准为120元/人，结算体检费用以体检认定的实际人数为准，2026年体检项目</w:t>
      </w:r>
      <w:r>
        <w:rPr>
          <w:rFonts w:ascii="FangSong" w:hAnsi="FangSong" w:eastAsia="FangSong" w:cs="FangSong"/>
          <w:color w:val="000000"/>
          <w:sz w:val="32"/>
        </w:rPr>
        <w:t xml:space="preserve">于2026年10月底前结束。</w:t>
      </w:r>
      <w:r/>
    </w:p>
    <w:p>
      <w:pPr>
        <w:numPr>
          <w:ilvl w:val="0"/>
          <w:numId w:val="13"/>
        </w:numPr>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体检项目</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tbl>
      <w:tblPr>
        <w:tblStyle w:val="72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350"/>
        <w:gridCol w:w="7001"/>
      </w:tblGrid>
      <w:tr>
        <w:trPr>
          <w:trHeight w:val="40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50" w:type="dxa"/>
            <w:vAlign w:val="center"/>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检查内容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01" w:type="dxa"/>
            <w:vAlign w:val="center"/>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体检项目临床意义</w:t>
            </w:r>
            <w:r/>
          </w:p>
        </w:tc>
      </w:tr>
      <w:tr>
        <w:trPr>
          <w:trHeight w:val="40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0" w:type="dxa"/>
            <w:vAlign w:val="center"/>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一般检查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01" w:type="dxa"/>
            <w:vAlign w:val="center"/>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体重是否正常，有无体重过低、超重或肥胖；有无血压脉搏异常等</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0" w:type="dxa"/>
            <w:vAlign w:val="center"/>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内科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01" w:type="dxa"/>
            <w:vAlign w:val="center"/>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通过视、触、听检查心、肺、脾、肾等重要脏器的基本情况发现疾病的相关征兆，或初步排除常见的疾病</w:t>
            </w:r>
            <w:r/>
          </w:p>
        </w:tc>
      </w:tr>
      <w:tr>
        <w:trPr>
          <w:trHeight w:val="79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0" w:type="dxa"/>
            <w:vAlign w:val="center"/>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尿常规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01" w:type="dxa"/>
            <w:vAlign w:val="center"/>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对于泌尿系统疾病（如尿路感染等）、肾脏早起病变（如肾炎等）、某些全身性病变（如糖尿病、肝胆疾病等）</w:t>
            </w:r>
            <w:r/>
          </w:p>
        </w:tc>
      </w:tr>
      <w:tr>
        <w:trPr>
          <w:trHeight w:val="11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0" w:type="dxa"/>
            <w:vAlign w:val="center"/>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血常规</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（24项）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01" w:type="dxa"/>
            <w:vAlign w:val="center"/>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白细胞数目、中性粒细胞数目、淋巴细胞数目、单核细胞数目、嗜酸性粒细胞数目、嗜碱性粒细胞数目、中性粒细胞百分比、淋巴细胞百分比、单核细胞百分比、嗜酸性粒细胞百分比、嗜碱性粒细胞百分比、红细胞数目、血红蛋白浓度、红细胞压积、平均红细胞体积、平均红细胞血红蛋白含量、红细胞分布宽度标准差SD、红细胞分布宽度变异系数CV、平均红细胞血红蛋白浓度、血小板数目、平均血小板体积、血小板分布宽度、血小板压积、大血小板比率</w:t>
            </w:r>
            <w:r/>
          </w:p>
        </w:tc>
      </w:tr>
      <w:tr>
        <w:trPr>
          <w:trHeight w:val="79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0" w:type="dxa"/>
            <w:vAlign w:val="center"/>
            <w:textDirection w:val="lrTb"/>
            <w:noWrap w:val="false"/>
          </w:tcPr>
          <w:p>
            <w:pPr>
              <w:ind w:left="0" w:right="-4"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肝功能3项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01" w:type="dxa"/>
            <w:vAlign w:val="center"/>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总胆红素，谷丙转氨酶，谷草转氨酶</w:t>
            </w:r>
            <w:r/>
          </w:p>
        </w:tc>
      </w:tr>
      <w:tr>
        <w:trPr>
          <w:trHeight w:val="79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0" w:type="dxa"/>
            <w:vAlign w:val="center"/>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肾功能3项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01" w:type="dxa"/>
            <w:vAlign w:val="center"/>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尿素、肌酐、尿酸</w:t>
            </w:r>
            <w:r/>
          </w:p>
        </w:tc>
      </w:tr>
      <w:tr>
        <w:trPr>
          <w:trHeight w:val="79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0" w:type="dxa"/>
            <w:vAlign w:val="center"/>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血脂2项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01" w:type="dxa"/>
            <w:vAlign w:val="center"/>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总胆固醇、甘油三酯</w:t>
            </w:r>
            <w:r/>
          </w:p>
        </w:tc>
      </w:tr>
      <w:tr>
        <w:trPr>
          <w:trHeight w:val="79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0" w:type="dxa"/>
            <w:vAlign w:val="center"/>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血糖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01" w:type="dxa"/>
            <w:vAlign w:val="center"/>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空腹血糖</w:t>
            </w:r>
            <w:r/>
          </w:p>
        </w:tc>
      </w:tr>
      <w:tr>
        <w:trPr>
          <w:trHeight w:val="8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0" w:type="dxa"/>
            <w:vAlign w:val="center"/>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癌胚抗原（定量）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01" w:type="dxa"/>
            <w:vAlign w:val="center"/>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初步判断检查者是否患有癌症</w:t>
            </w:r>
            <w:r/>
          </w:p>
        </w:tc>
      </w:tr>
      <w:tr>
        <w:trPr>
          <w:trHeight w:val="8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0" w:type="dxa"/>
            <w:vAlign w:val="center"/>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腹部彩超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01" w:type="dxa"/>
            <w:vAlign w:val="center"/>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肝胆脾胰肾</w:t>
            </w:r>
            <w:r/>
          </w:p>
        </w:tc>
      </w:tr>
      <w:tr>
        <w:trPr>
          <w:trHeight w:val="79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0" w:type="dxa"/>
            <w:vAlign w:val="center"/>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十二导心电图</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01" w:type="dxa"/>
            <w:vAlign w:val="center"/>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用于心律失常（如早搏、传导障碍）等、心肌缺血、心肌梗塞、心房、心室肥大等诊断</w:t>
            </w:r>
            <w:r/>
          </w:p>
        </w:tc>
      </w:tr>
      <w:tr>
        <w:trPr>
          <w:trHeight w:val="8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0" w:type="dxa"/>
            <w:vAlign w:val="center"/>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胸部透视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01" w:type="dxa"/>
            <w:vAlign w:val="center"/>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有无肺炎、肺气肿、肺结核、肺癌及心脏、主动脉、纵膈、横膈疾病等</w:t>
            </w:r>
            <w:r/>
          </w:p>
        </w:tc>
      </w:tr>
    </w:tbl>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三、体检定点医疗机构应具备服务保障条件：</w:t>
      </w:r>
      <w:r/>
    </w:p>
    <w:p>
      <w:pPr>
        <w:ind w:left="0" w:right="0" w:firstLine="64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体检场所：有独立的体检场所，具有体检承接能力，专门用于体检的建筑面积达到200平及以上，体检科室设置健全，环境舒适，须有清晰准确的体检引导标志牌，体检机构设立咨询台，有工作人员负责体检咨询和参检人员疏导工作，有应对“排队拥挤、等候时间过长”的协调解决能力或方案。</w:t>
      </w:r>
      <w:r/>
    </w:p>
    <w:p>
      <w:pPr>
        <w:ind w:left="0" w:right="0" w:firstLine="640"/>
        <w:jc w:val="both"/>
        <w:spacing w:before="240" w:after="24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2、体检设备：体检项目中涉及的“DR机、生化分析仪、免疫分析仪、血球计量仪、电子显微镜、尿检设备、彩色B超机和心电图仪”等专业设备符合国家标准、完好、精准。</w:t>
      </w:r>
      <w:r/>
    </w:p>
    <w:p>
      <w:pPr>
        <w:ind w:left="0" w:right="0" w:firstLine="64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3、体检医护人员：体检机构须选派技术水平高、责任心强、工作认真细致、服务态度热情，且有执业资质的医师、检验师及护理工作人员为退休人员进行健康检查，医护人员必须按照卫生行政部门的要求依法注册或备案在供应商名下，其他服务人员配备齐全。需提供参检人员的医护名单，专职体检人员达15人以上，需要持有相应的医生执业医师证及护士资格证，需提供本单位（2026年1月-2026年3月）社保证明。</w:t>
      </w:r>
      <w:r/>
    </w:p>
    <w:p>
      <w:pPr>
        <w:ind w:left="0" w:right="0" w:firstLine="64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4、体检服务：能够满足日体检量达100人以上，须安全有序组织好体检工作，包括有完整的体检方案，针对各社区、村如何安排体检顺序，如何应对突发事故，如何确保参检人员的人身安全等；有提供志愿者服务，提供耐心周到细致服务的措施；有专门的体检医生作为现场咨询专家，及其他有利于退休人员的各项有效措施等；为参检退休人员办理意外事故保险；为参检退休人员免费提供营养早餐；体检报告的电子化服务。体检机构核查体检对象的《企业退休人员免费健康体检通知书》，不允许他人“代检”，如发现“代检”，采购单位不予付款。</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5、体检结论：体检医院在体检结束后5日内，须由执业医师向退休人员出具体检报告，包含每个人的体检报告、异常指标汇总、化验检查结果、心电图、所查出可疑疾病的初步诊断及进一步检查、治疗、预防和日常保健的科学建议，体检医院需保存电子体检报告，保存期限10-15年，至少10年。</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44"/>
        </w:rPr>
        <w:t xml:space="preserve">第六章响应文件的编制要求及参考格式</w:t>
      </w:r>
      <w:r/>
    </w:p>
    <w:p>
      <w:pPr>
        <w:ind w:left="883" w:right="0" w:hanging="888"/>
        <w:spacing w:before="240" w:after="24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44"/>
        </w:rPr>
        <w:t xml:space="preserve"> </w:t>
      </w:r>
      <w:r/>
    </w:p>
    <w:p>
      <w:pPr>
        <w:ind w:left="0" w:right="0" w:firstLine="0"/>
        <w:jc w:val="both"/>
        <w:spacing w:before="0" w:after="0" w:line="558"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1.响应文件的组成</w:t>
      </w:r>
      <w:r/>
    </w:p>
    <w:p>
      <w:pPr>
        <w:ind w:left="0" w:right="0" w:firstLine="560"/>
        <w:jc w:val="both"/>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见第二章</w:t>
      </w:r>
      <w:r>
        <w:rPr>
          <w:rFonts w:ascii="Times New Roman" w:hAnsi="Times New Roman" w:eastAsia="Times New Roman" w:cs="Times New Roman"/>
          <w:color w:val="000000"/>
          <w:sz w:val="28"/>
        </w:rPr>
        <w:t xml:space="preserve">3.1</w:t>
      </w:r>
      <w:r>
        <w:rPr>
          <w:rFonts w:ascii="FangSong" w:hAnsi="FangSong" w:eastAsia="FangSong" w:cs="FangSong"/>
          <w:color w:val="000000"/>
          <w:sz w:val="28"/>
        </w:rPr>
        <w:t xml:space="preserve">条。</w:t>
      </w:r>
      <w:r/>
    </w:p>
    <w:p>
      <w:pPr>
        <w:ind w:left="0" w:right="0" w:firstLine="0"/>
        <w:jc w:val="both"/>
        <w:spacing w:before="0" w:after="0" w:line="558"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2.响应文件的编制内容及编制要求</w:t>
      </w:r>
      <w:r/>
    </w:p>
    <w:p>
      <w:pPr>
        <w:ind w:left="0" w:right="0" w:firstLine="0"/>
        <w:jc w:val="both"/>
        <w:spacing w:before="0" w:after="0" w:line="558"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2.1报价一览表</w:t>
      </w:r>
      <w:r/>
    </w:p>
    <w:p>
      <w:pPr>
        <w:ind w:left="0" w:right="0" w:firstLine="56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2.1.1</w:t>
      </w:r>
      <w:r>
        <w:rPr>
          <w:rFonts w:ascii="FangSong" w:hAnsi="FangSong" w:eastAsia="FangSong" w:cs="FangSong"/>
          <w:color w:val="000000"/>
          <w:sz w:val="28"/>
        </w:rPr>
        <w:t xml:space="preserve">供应商应按表中格式完整、清晰、正确填写；</w:t>
      </w:r>
      <w:r/>
    </w:p>
    <w:p>
      <w:pPr>
        <w:ind w:left="0" w:right="0" w:firstLine="56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2.1.2</w:t>
      </w:r>
      <w:r>
        <w:rPr>
          <w:rFonts w:ascii="FangSong" w:hAnsi="FangSong" w:eastAsia="FangSong" w:cs="FangSong"/>
          <w:color w:val="000000"/>
          <w:sz w:val="28"/>
        </w:rPr>
        <w:t xml:space="preserve">报价一览表中的价格应与响应文件中的价格一致；</w:t>
      </w:r>
      <w:r/>
    </w:p>
    <w:p>
      <w:pPr>
        <w:ind w:left="0" w:right="0" w:firstLine="56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2.1.3</w:t>
      </w:r>
      <w:r>
        <w:rPr>
          <w:rFonts w:ascii="FangSong" w:hAnsi="FangSong" w:eastAsia="FangSong" w:cs="FangSong"/>
          <w:color w:val="000000"/>
          <w:sz w:val="28"/>
        </w:rPr>
        <w:t xml:space="preserve">报价一览表格式见附件。</w:t>
      </w:r>
      <w:r/>
    </w:p>
    <w:p>
      <w:pPr>
        <w:ind w:left="0" w:right="0" w:firstLine="0"/>
        <w:jc w:val="both"/>
        <w:spacing w:before="0" w:after="0" w:line="558"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2.2响应函</w:t>
      </w:r>
      <w:r/>
    </w:p>
    <w:p>
      <w:pPr>
        <w:ind w:left="0" w:right="0" w:firstLine="56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2.2.1</w:t>
      </w:r>
      <w:r>
        <w:rPr>
          <w:rFonts w:ascii="FangSong" w:hAnsi="FangSong" w:eastAsia="FangSong" w:cs="FangSong"/>
          <w:color w:val="000000"/>
          <w:sz w:val="28"/>
        </w:rPr>
        <w:t xml:space="preserve">供应商应按表中格式完整、清晰、正确填写；</w:t>
      </w:r>
      <w:r/>
    </w:p>
    <w:p>
      <w:pPr>
        <w:ind w:left="0" w:right="0" w:firstLine="56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2.2.2</w:t>
      </w:r>
      <w:r>
        <w:rPr>
          <w:rFonts w:ascii="FangSong" w:hAnsi="FangSong" w:eastAsia="FangSong" w:cs="FangSong"/>
          <w:color w:val="000000"/>
          <w:sz w:val="28"/>
        </w:rPr>
        <w:t xml:space="preserve">响应函必须加盖供应商法人公章并经法定代表人签字或签章。</w:t>
      </w:r>
      <w:r/>
    </w:p>
    <w:p>
      <w:pPr>
        <w:ind w:left="0" w:right="0" w:firstLine="0"/>
        <w:jc w:val="both"/>
        <w:spacing w:before="0" w:after="0" w:line="558"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2.3资格条件证明文件</w:t>
      </w:r>
      <w:r/>
    </w:p>
    <w:p>
      <w:pPr>
        <w:ind w:left="0" w:right="0" w:firstLine="56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2.3.1</w:t>
      </w:r>
      <w:r>
        <w:rPr>
          <w:rFonts w:ascii="FangSong" w:hAnsi="FangSong" w:eastAsia="FangSong" w:cs="FangSong"/>
          <w:color w:val="000000"/>
          <w:sz w:val="28"/>
        </w:rPr>
        <w:t xml:space="preserve">供应商基本资格条件承诺书；</w:t>
      </w:r>
      <w:r/>
    </w:p>
    <w:p>
      <w:pPr>
        <w:ind w:left="0" w:right="0" w:firstLine="56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2.3.2</w:t>
      </w:r>
      <w:r>
        <w:rPr>
          <w:rFonts w:ascii="FangSong" w:hAnsi="FangSong" w:eastAsia="FangSong" w:cs="FangSong"/>
          <w:color w:val="000000"/>
          <w:sz w:val="28"/>
        </w:rPr>
        <w:t xml:space="preserve">征集文件要求的其他资格条件证明材料。</w:t>
      </w:r>
      <w:r/>
    </w:p>
    <w:p>
      <w:pPr>
        <w:ind w:left="0" w:right="0" w:firstLine="0"/>
        <w:jc w:val="both"/>
        <w:spacing w:before="0" w:after="0" w:line="558"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2.4采购需求响应表</w:t>
      </w:r>
      <w:r/>
    </w:p>
    <w:p>
      <w:pPr>
        <w:ind w:left="0" w:right="0" w:firstLine="560"/>
        <w:jc w:val="both"/>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供应商应仔细阅读采购需求，结合自身的实际情况，如实编制，格式自拟。采购需求响应表须详细说明实际提供的货物、服务及其他采购需求中相关要求的响应情况。</w:t>
      </w:r>
      <w:r/>
    </w:p>
    <w:p>
      <w:pPr>
        <w:ind w:left="0" w:right="0" w:firstLine="0"/>
        <w:jc w:val="both"/>
        <w:spacing w:before="0" w:after="0" w:line="558"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2.5供应商认为应列入响应文件的其他材料</w:t>
      </w:r>
      <w:r/>
    </w:p>
    <w:p>
      <w:pPr>
        <w:ind w:left="0" w:right="0" w:firstLine="560"/>
        <w:jc w:val="both"/>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供应商应对照第三章的评审因素，结合自身的实际情况，如实编制，格式自拟。</w:t>
      </w:r>
      <w:r/>
    </w:p>
    <w:p>
      <w:pPr>
        <w:ind w:left="0" w:right="0" w:firstLine="0"/>
        <w:jc w:val="both"/>
        <w:spacing w:before="0" w:after="0" w:line="558"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3.响应文件参考格式</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3.1响应文件封面格式</w:t>
      </w:r>
      <w:r/>
    </w:p>
    <w:p>
      <w:pPr>
        <w:ind w:left="0" w:right="0" w:firstLine="48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44"/>
        </w:rPr>
        <w:t xml:space="preserve">响应文件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2520"/>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项目名称：</w:t>
      </w:r>
      <w:r/>
    </w:p>
    <w:p>
      <w:pPr>
        <w:ind w:left="0" w:right="0" w:firstLine="2520"/>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项目编号：</w:t>
      </w:r>
      <w:r/>
    </w:p>
    <w:p>
      <w:pPr>
        <w:ind w:left="0" w:right="0" w:firstLine="2520"/>
        <w:jc w:val="both"/>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2520"/>
        <w:jc w:val="both"/>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2520"/>
        <w:jc w:val="both"/>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2520"/>
        <w:jc w:val="both"/>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2520"/>
        <w:jc w:val="both"/>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560"/>
        <w:jc w:val="both"/>
        <w:spacing w:before="0" w:after="0" w:line="400" w:lineRule="atLeast"/>
        <w:tabs>
          <w:tab w:val="left" w:pos="270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供应商名称：</w:t>
      </w:r>
      <w:r>
        <w:rPr>
          <w:rFonts w:ascii="FangSong" w:hAnsi="FangSong" w:eastAsia="FangSong" w:cs="FangSong"/>
          <w:color w:val="000000"/>
          <w:sz w:val="28"/>
          <w:u w:val="single"/>
        </w:rPr>
        <w:t xml:space="preserve">  （盖法人章）</w:t>
      </w:r>
      <w:r/>
    </w:p>
    <w:p>
      <w:pPr>
        <w:ind w:left="0" w:right="0" w:firstLine="560"/>
        <w:jc w:val="both"/>
        <w:spacing w:before="0" w:after="0" w:line="400" w:lineRule="atLeast"/>
        <w:tabs>
          <w:tab w:val="left" w:pos="270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联系人：</w:t>
      </w:r>
      <w:r/>
    </w:p>
    <w:p>
      <w:pPr>
        <w:ind w:left="0" w:right="0" w:firstLine="560"/>
        <w:jc w:val="both"/>
        <w:spacing w:before="0" w:after="0" w:line="400" w:lineRule="atLeast"/>
        <w:tabs>
          <w:tab w:val="left" w:pos="270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联系电话：</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邮箱：</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日期：</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年</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月</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3.2报价一览表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报价一览表</w:t>
      </w:r>
      <w:r/>
    </w:p>
    <w:p>
      <w:pPr>
        <w:ind w:left="0" w:right="0" w:firstLine="0"/>
        <w:jc w:val="both"/>
        <w:spacing w:before="0" w:after="12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按“江苏省政府采购管理交易系统（苏采云）”中格式填写。</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3.3响应函</w:t>
      </w:r>
      <w:r/>
    </w:p>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响 应 函</w:t>
      </w:r>
      <w:r/>
    </w:p>
    <w:p>
      <w:pPr>
        <w:ind w:left="0" w:right="0" w:firstLine="0"/>
        <w:jc w:val="both"/>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致：</w:t>
      </w:r>
      <w:r>
        <w:rPr>
          <w:rFonts w:ascii="FangSong" w:hAnsi="FangSong" w:eastAsia="FangSong" w:cs="FangSong"/>
          <w:color w:val="000000"/>
          <w:sz w:val="28"/>
          <w:u w:val="single"/>
        </w:rPr>
        <w:t xml:space="preserve">（采购人名称）</w:t>
      </w:r>
      <w:r>
        <w:rPr>
          <w:rFonts w:ascii="FangSong" w:hAnsi="FangSong" w:eastAsia="FangSong" w:cs="FangSong"/>
          <w:color w:val="000000"/>
          <w:sz w:val="28"/>
        </w:rPr>
        <w:t xml:space="preserve"> </w:t>
      </w:r>
      <w:r/>
    </w:p>
    <w:p>
      <w:pPr>
        <w:ind w:left="0" w:right="0" w:firstLine="560"/>
        <w:jc w:val="both"/>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根据</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项目采购文件的所有条款要求，遵照《中华人民共和国政府采购法》《中华人民共和国政府采购法实施条例》等有关规定，我方承诺如下：</w:t>
      </w:r>
      <w:r/>
    </w:p>
    <w:p>
      <w:pPr>
        <w:ind w:left="0" w:right="0" w:firstLine="56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一旦我方成为成交人,我方将根据采购文件的规定，严格履行合同的责任和义务。</w:t>
      </w:r>
      <w:r/>
    </w:p>
    <w:p>
      <w:pPr>
        <w:ind w:left="0" w:right="0" w:firstLine="56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合同履行期限：2026年度、2028年度。</w:t>
      </w:r>
      <w:r/>
    </w:p>
    <w:p>
      <w:pPr>
        <w:ind w:left="0" w:right="0" w:firstLine="56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我方已详细审查全部采购文件。我们完全理解并同意放弃对这方面有不明及误解的权力。</w:t>
      </w:r>
      <w:r/>
    </w:p>
    <w:p>
      <w:pPr>
        <w:ind w:left="0" w:right="0" w:firstLine="56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w:t>
      </w:r>
      <w:r>
        <w:rPr>
          <w:rFonts w:ascii="FangSong" w:hAnsi="FangSong" w:eastAsia="FangSong" w:cs="FangSong"/>
          <w:color w:val="000000"/>
          <w:sz w:val="28"/>
        </w:rPr>
        <w:t xml:space="preserve">我方响应文件中作出的所有承诺，在采购项目评审结束后，随时接受采购人的检查验证，并自觉配合提供相关证明材料。经调查核实为虚假承诺的，同意视为“提供虚假材料谋取中标、成交”的违法行为，依照《政府采购法》等法律法规承担相应责任。</w:t>
      </w:r>
      <w:r/>
    </w:p>
    <w:p>
      <w:pPr>
        <w:ind w:left="0" w:right="0" w:firstLine="3920"/>
        <w:jc w:val="both"/>
        <w:spacing w:before="12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3920"/>
        <w:jc w:val="both"/>
        <w:spacing w:before="12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3920"/>
        <w:jc w:val="both"/>
        <w:spacing w:before="12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供应商名称(盖法人章)：</w:t>
      </w:r>
      <w:r/>
    </w:p>
    <w:p>
      <w:pPr>
        <w:ind w:left="0" w:right="0" w:firstLine="3920"/>
        <w:jc w:val="both"/>
        <w:spacing w:before="12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法定代表人(签字或签章)：</w:t>
      </w:r>
      <w:r/>
    </w:p>
    <w:p>
      <w:pPr>
        <w:ind w:left="0" w:right="0" w:firstLine="3920"/>
        <w:jc w:val="both"/>
        <w:spacing w:before="12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日期：年月日</w:t>
      </w:r>
      <w:r/>
    </w:p>
    <w:p>
      <w:pPr>
        <w:ind w:left="0" w:right="0" w:firstLine="0"/>
        <w:spacing w:before="0" w:after="0" w:line="558"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558"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3.4供应商资格条件证明文件</w:t>
      </w:r>
      <w:r/>
    </w:p>
    <w:p>
      <w:pPr>
        <w:ind w:left="0" w:right="0" w:firstLine="0"/>
        <w:jc w:val="both"/>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（1）供应商基本资格条件承诺书</w:t>
      </w:r>
      <w:r/>
    </w:p>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供应商基本资格条件承诺书</w:t>
      </w:r>
      <w:r/>
    </w:p>
    <w:p>
      <w:pPr>
        <w:ind w:left="0" w:right="0" w:firstLine="560"/>
        <w:jc w:val="both"/>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一、按照《政府采购法》第二十二条规定的供应商基本资格条件，我公司郑重承诺如下：</w:t>
      </w:r>
      <w:r/>
    </w:p>
    <w:p>
      <w:pPr>
        <w:ind w:left="0" w:right="0" w:firstLine="56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我公司具有</w:t>
      </w:r>
      <w:r>
        <w:rPr>
          <w:rFonts w:ascii="FangSong" w:hAnsi="FangSong" w:eastAsia="FangSong" w:cs="FangSong"/>
          <w:color w:val="000000"/>
          <w:sz w:val="28"/>
          <w:highlight w:val="white"/>
        </w:rPr>
        <w:t xml:space="preserve">良好的商业信誉和健全的财务制度；</w:t>
      </w:r>
      <w:r/>
    </w:p>
    <w:p>
      <w:pPr>
        <w:ind w:left="0" w:right="0" w:firstLine="56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white"/>
        </w:rPr>
        <w:t xml:space="preserve">2.</w:t>
      </w:r>
      <w:r>
        <w:rPr>
          <w:rFonts w:ascii="FangSong" w:hAnsi="FangSong" w:eastAsia="FangSong" w:cs="FangSong"/>
          <w:color w:val="000000"/>
          <w:sz w:val="28"/>
          <w:highlight w:val="white"/>
        </w:rPr>
        <w:t xml:space="preserve">我公司具有履行合同所必须的设备和专业技术能力；</w:t>
      </w:r>
      <w:r/>
    </w:p>
    <w:p>
      <w:pPr>
        <w:ind w:left="0" w:right="0" w:firstLine="56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white"/>
        </w:rPr>
        <w:t xml:space="preserve">3.</w:t>
      </w:r>
      <w:r>
        <w:rPr>
          <w:rFonts w:ascii="FangSong" w:hAnsi="FangSong" w:eastAsia="FangSong" w:cs="FangSong"/>
          <w:color w:val="000000"/>
          <w:sz w:val="28"/>
          <w:highlight w:val="white"/>
        </w:rPr>
        <w:t xml:space="preserve">我公司具有依法缴纳税收和社会保障资金的良好记录；</w:t>
      </w:r>
      <w:r/>
    </w:p>
    <w:p>
      <w:pPr>
        <w:ind w:left="0" w:right="0" w:firstLine="56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white"/>
        </w:rPr>
        <w:t xml:space="preserve">4.</w:t>
      </w:r>
      <w:r>
        <w:rPr>
          <w:rFonts w:ascii="FangSong" w:hAnsi="FangSong" w:eastAsia="FangSong" w:cs="FangSong"/>
          <w:color w:val="000000"/>
          <w:sz w:val="28"/>
          <w:highlight w:val="white"/>
        </w:rPr>
        <w:t xml:space="preserve">我公司参加政府采购活动前三年内，在经营活动中没有重大违法记录；</w:t>
      </w:r>
      <w:r/>
    </w:p>
    <w:p>
      <w:pPr>
        <w:ind w:left="0" w:right="0" w:firstLine="560"/>
        <w:jc w:val="both"/>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white"/>
        </w:rPr>
        <w:t xml:space="preserve">5.</w:t>
      </w:r>
      <w:r>
        <w:rPr>
          <w:rFonts w:ascii="FangSong" w:hAnsi="FangSong" w:eastAsia="FangSong" w:cs="FangSong"/>
          <w:color w:val="000000"/>
          <w:sz w:val="28"/>
          <w:highlight w:val="white"/>
        </w:rPr>
        <w:t xml:space="preserve">我公司未列入在信用中国网站（www.creditchina.gov.cn）“失信被执行人”“重大税收违法案件当事人名单”中，也未列入中国政府采购网（www.ccgp.gov.cn）“政府采购严重违法失信行为记录名单”中</w:t>
      </w:r>
      <w:r>
        <w:rPr>
          <w:rFonts w:ascii="FangSong" w:hAnsi="FangSong" w:eastAsia="FangSong" w:cs="FangSong"/>
          <w:color w:val="000000"/>
          <w:sz w:val="28"/>
        </w:rPr>
        <w:t xml:space="preserve">。</w:t>
      </w:r>
      <w:r/>
    </w:p>
    <w:p>
      <w:pPr>
        <w:ind w:left="0" w:right="0" w:firstLine="560"/>
        <w:jc w:val="both"/>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二、</w:t>
      </w:r>
      <w:r>
        <w:rPr>
          <w:rFonts w:ascii="FangSong" w:hAnsi="FangSong" w:eastAsia="FangSong" w:cs="FangSong"/>
          <w:color w:val="000000"/>
          <w:sz w:val="28"/>
        </w:rPr>
        <w:t xml:space="preserve">我公司承诺：在本次投标过程中，我公司不存在本项目采购文件第二章第</w:t>
      </w:r>
      <w:r>
        <w:rPr>
          <w:rFonts w:ascii="Times New Roman" w:hAnsi="Times New Roman" w:eastAsia="Times New Roman" w:cs="Times New Roman"/>
          <w:color w:val="000000"/>
          <w:sz w:val="28"/>
        </w:rPr>
        <w:t xml:space="preserve">1.4.3</w:t>
      </w:r>
      <w:r>
        <w:rPr>
          <w:rFonts w:ascii="FangSong" w:hAnsi="FangSong" w:eastAsia="FangSong" w:cs="FangSong"/>
          <w:color w:val="000000"/>
          <w:sz w:val="28"/>
        </w:rPr>
        <w:t xml:space="preserve">条所列情形之一。</w:t>
      </w:r>
      <w:r/>
    </w:p>
    <w:p>
      <w:pPr>
        <w:ind w:left="0" w:right="0" w:firstLine="3920"/>
        <w:jc w:val="both"/>
        <w:spacing w:before="12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3920"/>
        <w:jc w:val="both"/>
        <w:spacing w:before="12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供应商名称(盖法人章)：</w:t>
      </w:r>
      <w:r/>
    </w:p>
    <w:p>
      <w:pPr>
        <w:ind w:left="0" w:right="0" w:firstLine="3920"/>
        <w:jc w:val="both"/>
        <w:spacing w:before="12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法定代表人(签字或签章)：</w:t>
      </w:r>
      <w:r/>
    </w:p>
    <w:p>
      <w:pPr>
        <w:ind w:left="0" w:right="0" w:firstLine="3920"/>
        <w:jc w:val="both"/>
        <w:spacing w:before="12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日期：年月日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（2）中小企业声明函</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中小企业声明函</w:t>
      </w:r>
      <w:r/>
    </w:p>
    <w:p>
      <w:pPr>
        <w:ind w:left="0" w:right="0" w:firstLine="570"/>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本公司（联合体）郑重声明，根据《政府采购促进中小企业发展管理办法》（财库[2020]46号）的规定，本公司（联合体）参加</w:t>
      </w:r>
      <w:r>
        <w:rPr>
          <w:rFonts w:ascii="Arial" w:hAnsi="Arial" w:eastAsia="Arial" w:cs="Arial"/>
          <w:color w:val="000000"/>
          <w:sz w:val="28"/>
          <w:u w:val="single"/>
        </w:rPr>
        <w:t xml:space="preserve"> （单位名称）</w:t>
      </w:r>
      <w:r>
        <w:rPr>
          <w:rFonts w:ascii="Arial" w:hAnsi="Arial" w:eastAsia="Arial" w:cs="Arial"/>
          <w:color w:val="000000"/>
          <w:sz w:val="28"/>
        </w:rPr>
        <w:t xml:space="preserve">的</w:t>
      </w:r>
      <w:r>
        <w:rPr>
          <w:rFonts w:ascii="Arial" w:hAnsi="Arial" w:eastAsia="Arial" w:cs="Arial"/>
          <w:color w:val="000000"/>
          <w:sz w:val="28"/>
          <w:u w:val="single"/>
        </w:rPr>
        <w:t xml:space="preserve"> （标的名称）</w:t>
      </w:r>
      <w:r>
        <w:rPr>
          <w:rFonts w:ascii="Arial" w:hAnsi="Arial" w:eastAsia="Arial" w:cs="Arial"/>
          <w:color w:val="000000"/>
          <w:sz w:val="28"/>
        </w:rPr>
        <w:t xml:space="preserve">采购活动，提供的货物或服务全部由符合政策要求的小微企业提供。相关企业（含联合体中的中小企业、签订分包意向协议的中小企业）的具体情况如下：</w:t>
      </w:r>
      <w:r/>
    </w:p>
    <w:p>
      <w:pPr>
        <w:ind w:left="0" w:right="0" w:firstLine="560"/>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w:t>
      </w:r>
      <w:r>
        <w:rPr>
          <w:rFonts w:ascii="Arial" w:hAnsi="Arial" w:eastAsia="Arial" w:cs="Arial"/>
          <w:color w:val="000000"/>
          <w:sz w:val="28"/>
          <w:u w:val="single"/>
        </w:rPr>
        <w:t xml:space="preserve"> （标的名称）</w:t>
      </w:r>
      <w:r>
        <w:rPr>
          <w:rFonts w:ascii="Arial" w:hAnsi="Arial" w:eastAsia="Arial" w:cs="Arial"/>
          <w:color w:val="000000"/>
          <w:sz w:val="28"/>
        </w:rPr>
        <w:t xml:space="preserve">，属于</w:t>
      </w:r>
      <w:r>
        <w:rPr>
          <w:rFonts w:ascii="Arial" w:hAnsi="Arial" w:eastAsia="Arial" w:cs="Arial"/>
          <w:color w:val="000000"/>
          <w:sz w:val="28"/>
          <w:u w:val="single"/>
        </w:rPr>
        <w:t xml:space="preserve">  （采购文件中明确的所属行业） </w:t>
      </w:r>
      <w:r>
        <w:rPr>
          <w:rFonts w:ascii="Arial" w:hAnsi="Arial" w:eastAsia="Arial" w:cs="Arial"/>
          <w:color w:val="000000"/>
          <w:sz w:val="28"/>
        </w:rPr>
        <w:t xml:space="preserve">；承建（承接）企业为</w:t>
      </w:r>
      <w:r>
        <w:rPr>
          <w:rFonts w:ascii="Arial" w:hAnsi="Arial" w:eastAsia="Arial" w:cs="Arial"/>
          <w:color w:val="000000"/>
          <w:sz w:val="28"/>
          <w:u w:val="single"/>
        </w:rPr>
        <w:t xml:space="preserve"> （企业名称）</w:t>
      </w:r>
      <w:r>
        <w:rPr>
          <w:rFonts w:ascii="Arial" w:hAnsi="Arial" w:eastAsia="Arial" w:cs="Arial"/>
          <w:color w:val="000000"/>
          <w:sz w:val="28"/>
        </w:rPr>
        <w:t xml:space="preserve">，从业人员</w:t>
      </w:r>
      <w:r>
        <w:rPr>
          <w:rFonts w:ascii="Arial" w:hAnsi="Arial" w:eastAsia="Arial" w:cs="Arial"/>
          <w:color w:val="000000"/>
          <w:sz w:val="28"/>
          <w:u w:val="single"/>
        </w:rPr>
        <w:t xml:space="preserve">     </w:t>
      </w:r>
      <w:r>
        <w:rPr>
          <w:rFonts w:ascii="Arial" w:hAnsi="Arial" w:eastAsia="Arial" w:cs="Arial"/>
          <w:color w:val="000000"/>
          <w:sz w:val="28"/>
        </w:rPr>
        <w:t xml:space="preserve">人，营业收入</w:t>
      </w:r>
      <w:r>
        <w:rPr>
          <w:rFonts w:ascii="Arial" w:hAnsi="Arial" w:eastAsia="Arial" w:cs="Arial"/>
          <w:color w:val="000000"/>
          <w:sz w:val="28"/>
          <w:u w:val="single"/>
        </w:rPr>
        <w:t xml:space="preserve">       </w:t>
      </w:r>
      <w:r>
        <w:rPr>
          <w:rFonts w:ascii="Arial" w:hAnsi="Arial" w:eastAsia="Arial" w:cs="Arial"/>
          <w:color w:val="000000"/>
          <w:sz w:val="28"/>
        </w:rPr>
        <w:t xml:space="preserve">万元，资产总额</w:t>
      </w:r>
      <w:r>
        <w:rPr>
          <w:rFonts w:ascii="Arial" w:hAnsi="Arial" w:eastAsia="Arial" w:cs="Arial"/>
          <w:color w:val="000000"/>
          <w:sz w:val="28"/>
          <w:u w:val="single"/>
        </w:rPr>
        <w:t xml:space="preserve">      </w:t>
      </w:r>
      <w:r>
        <w:rPr>
          <w:rFonts w:ascii="Arial" w:hAnsi="Arial" w:eastAsia="Arial" w:cs="Arial"/>
          <w:color w:val="000000"/>
          <w:sz w:val="28"/>
        </w:rPr>
        <w:t xml:space="preserve">万元，属于</w:t>
      </w:r>
      <w:r>
        <w:rPr>
          <w:rFonts w:ascii="Arial" w:hAnsi="Arial" w:eastAsia="Arial" w:cs="Arial"/>
          <w:color w:val="000000"/>
          <w:sz w:val="28"/>
          <w:u w:val="single"/>
        </w:rPr>
        <w:t xml:space="preserve"> （中型企业、小型企业、微型企业）</w:t>
      </w:r>
      <w:r>
        <w:rPr>
          <w:rFonts w:ascii="Arial" w:hAnsi="Arial" w:eastAsia="Arial" w:cs="Arial"/>
          <w:color w:val="000000"/>
          <w:sz w:val="28"/>
        </w:rPr>
        <w:t xml:space="preserve">；</w:t>
      </w:r>
      <w:r/>
    </w:p>
    <w:p>
      <w:pPr>
        <w:ind w:left="0" w:right="0" w:firstLine="560"/>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w:t>
      </w:r>
      <w:r>
        <w:rPr>
          <w:rFonts w:ascii="Arial" w:hAnsi="Arial" w:eastAsia="Arial" w:cs="Arial"/>
          <w:color w:val="000000"/>
          <w:sz w:val="28"/>
          <w:u w:val="single"/>
        </w:rPr>
        <w:t xml:space="preserve">（标的名称）</w:t>
      </w:r>
      <w:r>
        <w:rPr>
          <w:rFonts w:ascii="Arial" w:hAnsi="Arial" w:eastAsia="Arial" w:cs="Arial"/>
          <w:color w:val="000000"/>
          <w:sz w:val="28"/>
        </w:rPr>
        <w:t xml:space="preserve">，属于</w:t>
      </w:r>
      <w:r>
        <w:rPr>
          <w:rFonts w:ascii="Arial" w:hAnsi="Arial" w:eastAsia="Arial" w:cs="Arial"/>
          <w:color w:val="000000"/>
          <w:sz w:val="28"/>
          <w:u w:val="single"/>
        </w:rPr>
        <w:t xml:space="preserve">  （采购文件中明确的所属行业） </w:t>
      </w:r>
      <w:r>
        <w:rPr>
          <w:rFonts w:ascii="Arial" w:hAnsi="Arial" w:eastAsia="Arial" w:cs="Arial"/>
          <w:color w:val="000000"/>
          <w:sz w:val="28"/>
        </w:rPr>
        <w:t xml:space="preserve">；承建（承接）企业为</w:t>
      </w:r>
      <w:r>
        <w:rPr>
          <w:rFonts w:ascii="Arial" w:hAnsi="Arial" w:eastAsia="Arial" w:cs="Arial"/>
          <w:color w:val="000000"/>
          <w:sz w:val="28"/>
          <w:u w:val="single"/>
        </w:rPr>
        <w:t xml:space="preserve"> （企业名称）</w:t>
      </w:r>
      <w:r>
        <w:rPr>
          <w:rFonts w:ascii="Arial" w:hAnsi="Arial" w:eastAsia="Arial" w:cs="Arial"/>
          <w:color w:val="000000"/>
          <w:sz w:val="28"/>
        </w:rPr>
        <w:t xml:space="preserve">，从业人员</w:t>
      </w:r>
      <w:r>
        <w:rPr>
          <w:rFonts w:ascii="Arial" w:hAnsi="Arial" w:eastAsia="Arial" w:cs="Arial"/>
          <w:color w:val="000000"/>
          <w:sz w:val="28"/>
          <w:u w:val="single"/>
        </w:rPr>
        <w:t xml:space="preserve">     </w:t>
      </w:r>
      <w:r>
        <w:rPr>
          <w:rFonts w:ascii="Arial" w:hAnsi="Arial" w:eastAsia="Arial" w:cs="Arial"/>
          <w:color w:val="000000"/>
          <w:sz w:val="28"/>
        </w:rPr>
        <w:t xml:space="preserve">人，营业收入</w:t>
      </w:r>
      <w:r>
        <w:rPr>
          <w:rFonts w:ascii="Arial" w:hAnsi="Arial" w:eastAsia="Arial" w:cs="Arial"/>
          <w:color w:val="000000"/>
          <w:sz w:val="28"/>
          <w:u w:val="single"/>
        </w:rPr>
        <w:t xml:space="preserve">       </w:t>
      </w:r>
      <w:r>
        <w:rPr>
          <w:rFonts w:ascii="Arial" w:hAnsi="Arial" w:eastAsia="Arial" w:cs="Arial"/>
          <w:color w:val="000000"/>
          <w:sz w:val="28"/>
        </w:rPr>
        <w:t xml:space="preserve">万元，资产总额</w:t>
      </w:r>
      <w:r>
        <w:rPr>
          <w:rFonts w:ascii="Arial" w:hAnsi="Arial" w:eastAsia="Arial" w:cs="Arial"/>
          <w:color w:val="000000"/>
          <w:sz w:val="28"/>
          <w:u w:val="single"/>
        </w:rPr>
        <w:t xml:space="preserve">      </w:t>
      </w:r>
      <w:r>
        <w:rPr>
          <w:rFonts w:ascii="Arial" w:hAnsi="Arial" w:eastAsia="Arial" w:cs="Arial"/>
          <w:color w:val="000000"/>
          <w:sz w:val="28"/>
        </w:rPr>
        <w:t xml:space="preserve">万元，属于</w:t>
      </w:r>
      <w:r>
        <w:rPr>
          <w:rFonts w:ascii="Arial" w:hAnsi="Arial" w:eastAsia="Arial" w:cs="Arial"/>
          <w:color w:val="000000"/>
          <w:sz w:val="28"/>
          <w:u w:val="single"/>
        </w:rPr>
        <w:t xml:space="preserve"> （中型企业、小型企业、微型企业）</w:t>
      </w:r>
      <w:r>
        <w:rPr>
          <w:rFonts w:ascii="Arial" w:hAnsi="Arial" w:eastAsia="Arial" w:cs="Arial"/>
          <w:color w:val="000000"/>
          <w:sz w:val="28"/>
        </w:rPr>
        <w:t xml:space="preserve">；</w:t>
      </w:r>
      <w:r/>
    </w:p>
    <w:p>
      <w:pPr>
        <w:ind w:left="93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w:t>
      </w:r>
      <w:r/>
    </w:p>
    <w:p>
      <w:pPr>
        <w:ind w:left="0" w:right="0" w:firstLine="560"/>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以上企业，不属于大企业的分支机构，不存在控股股东为大企业的情形，也不存在与大企业的负责人为同一人的情形。</w:t>
      </w:r>
      <w:r/>
    </w:p>
    <w:p>
      <w:pPr>
        <w:ind w:left="0" w:right="0" w:firstLine="570"/>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本企业对上述声明内容的真实性负责。如有虚假，将依法承担相应责任。</w:t>
      </w:r>
      <w:r/>
    </w:p>
    <w:p>
      <w:pPr>
        <w:ind w:left="0" w:right="0" w:firstLine="4760"/>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企业名称（盖章）：</w:t>
      </w:r>
      <w:r/>
    </w:p>
    <w:p>
      <w:pPr>
        <w:ind w:left="0" w:right="0" w:firstLine="4760"/>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日期：</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注：1、从业人员、营业收入填报上一年度数据，无上一年度数据的新成立企业可不填报。</w:t>
      </w:r>
      <w:r/>
    </w:p>
    <w:p>
      <w:pPr>
        <w:ind w:left="0" w:right="0" w:firstLine="560"/>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2、供应商如不提供此声明函，价格将不做相应扣除。</w:t>
      </w:r>
      <w:r/>
    </w:p>
    <w:p>
      <w:pPr>
        <w:ind w:left="0" w:right="0" w:firstLine="560"/>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3、供应商提供的声明函内容不实的，属于提供虚假材料谋取中标，依照《中华人民共和国政府采购法》等国家有关规定追究相应责任。</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br w:type="page" w:clear="all"/>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3.5采购需求响应表</w:t>
      </w:r>
      <w:r/>
    </w:p>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采购需求响应承诺</w:t>
      </w:r>
      <w:r/>
    </w:p>
    <w:p>
      <w:pPr>
        <w:ind w:left="0" w:right="0" w:firstLine="560"/>
        <w:jc w:val="both"/>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一、我方已经仔细阅读并充分理解本征集文件第五章《采购需求》的要求，并郑重承诺完全按照《采购需求》要求提供相应的服务。</w:t>
      </w:r>
      <w:r/>
    </w:p>
    <w:p>
      <w:pPr>
        <w:ind w:left="0" w:right="0" w:firstLine="560"/>
        <w:jc w:val="both"/>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二、技术要求响应。</w:t>
      </w:r>
      <w:r/>
    </w:p>
    <w:p>
      <w:pPr>
        <w:ind w:left="0" w:right="0" w:firstLine="560"/>
        <w:jc w:val="both"/>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三、商务要求响应。</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3920"/>
        <w:jc w:val="both"/>
        <w:spacing w:before="12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供应商名称(盖法人章)：</w:t>
      </w:r>
      <w:r/>
    </w:p>
    <w:p>
      <w:pPr>
        <w:ind w:left="0" w:right="0" w:firstLine="3920"/>
        <w:jc w:val="both"/>
        <w:spacing w:before="12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法定代表人(签字或签章)：</w:t>
      </w:r>
      <w:r/>
    </w:p>
    <w:p>
      <w:pPr>
        <w:ind w:left="0" w:right="0" w:firstLine="3920"/>
        <w:jc w:val="both"/>
        <w:spacing w:before="12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3.6供应商认为应列入响应文件的其他材料</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r/>
      <w:r/>
    </w:p>
    <w:sectPr>
      <w:footerReference w:type="default" r:id="rId9"/>
      <w:footnotePr/>
      <w:endnotePr/>
      <w:type w:val="nextPage"/>
      <w:pgSz w:w="11906" w:h="16838" w:orient="portrait"/>
      <w:pgMar w:top="1134" w:right="1134" w:bottom="1134" w:left="1134" w:header="709" w:footer="709" w:gutter="0"/>
      <w:cols w:num="1" w:sep="0" w:space="1701" w:equalWidth="1"/>
      <w:docGrid w:linePitch="360"/>
    </w:sectPr>
  </w:body>
</w:document>
</file>

<file path=word/commentsDocument.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雨过天睛" w:date="2026-04-24T09:27:43Z">
    <w:p w14:paraId="00000001" w14:textId="00000001">
      <w:pPr>
        <w:spacing w:line="240" w:after="0" w:lineRule="auto" w:before="0"/>
        <w:ind w:firstLine="0" w:left="0" w:right="0"/>
        <w:jc w:val="left"/>
      </w:pPr>
      <w:r>
        <w:rPr>
          <w:rFonts w:eastAsia="Arial" w:ascii="Arial" w:hAnsi="Arial" w:cs="Arial"/>
          <w:sz w:val="22"/>
        </w:rPr>
        <w:t xml:space="preserve">应参检人数为33591人（济川街道9846人，延令街道21880人，异地居住1865人）</w:t>
      </w:r>
    </w:p>
  </w:comment>
  <w:comment w:id="1" w:author="雨过天睛" w:date="2026-04-22T17:02:05Z">
    <w:p w14:paraId="00000002" w14:textId="00000002">
      <w:pPr>
        <w:spacing w:line="240" w:after="0" w:lineRule="auto" w:before="0"/>
        <w:ind w:firstLine="0" w:left="0" w:right="0"/>
        <w:jc w:val="left"/>
      </w:pPr>
      <w:r>
        <w:rPr>
          <w:rFonts w:eastAsia="Arial" w:ascii="Arial" w:hAnsi="Arial" w:cs="Arial"/>
          <w:sz w:val="22"/>
        </w:rPr>
        <w:t xml:space="preserve">济川街道片区、延令街道片区各选一家</w:t>
      </w:r>
    </w:p>
  </w:comment>
  <w:comment w:id="2" w:author="雨过天睛" w:date="2026-04-22T16:54:58Z">
    <w:p w14:paraId="00000003" w14:textId="00000003">
      <w:pPr>
        <w:spacing w:line="240" w:after="0" w:lineRule="auto" w:before="0"/>
        <w:ind w:firstLine="0" w:left="0" w:right="0"/>
        <w:jc w:val="left"/>
      </w:pPr>
      <w:r>
        <w:rPr>
          <w:rFonts w:eastAsia="Arial" w:ascii="Arial" w:hAnsi="Arial" w:cs="Arial"/>
          <w:sz w:val="22"/>
        </w:rPr>
        <w:t xml:space="preserve">13775739598</w:t>
      </w:r>
    </w:p>
  </w:comment>
  <w:comment w:id="3" w:author="雨过天睛" w:date="2026-04-22T16:54:46Z">
    <w:p w14:paraId="00000004" w14:textId="00000004">
      <w:pPr>
        <w:spacing w:line="240" w:after="0" w:lineRule="auto" w:before="0"/>
        <w:ind w:firstLine="0" w:left="0" w:right="0"/>
        <w:jc w:val="left"/>
      </w:pPr>
      <w:r>
        <w:rPr>
          <w:rFonts w:eastAsia="Arial" w:ascii="Arial" w:hAnsi="Arial" w:cs="Arial"/>
          <w:sz w:val="22"/>
        </w:rPr>
        <w:t xml:space="preserve">高斌</w:t>
      </w:r>
    </w:p>
  </w:comment>
  <w:comment w:id="4" w:author="雨过天睛" w:date="2026-04-22T16:40:45Z">
    <w:p w14:paraId="00000005" w14:textId="00000005">
      <w:pPr>
        <w:spacing w:line="240" w:after="0" w:lineRule="auto" w:before="0"/>
        <w:ind w:firstLine="0" w:left="0" w:right="0"/>
        <w:jc w:val="left"/>
      </w:pPr>
      <w:r>
        <w:rPr>
          <w:rFonts w:eastAsia="Arial" w:ascii="Arial" w:hAnsi="Arial" w:cs="Arial"/>
          <w:sz w:val="22"/>
        </w:rPr>
        <w:t xml:space="preserve">13775739598</w:t>
      </w:r>
    </w:p>
  </w:comment>
  <w:comment w:id="5" w:author="雨过天睛" w:date="2026-04-22T16:54:15Z">
    <w:p w14:paraId="00000006" w14:textId="00000006">
      <w:pPr>
        <w:spacing w:line="240" w:after="0" w:lineRule="auto" w:before="0"/>
        <w:ind w:firstLine="0" w:left="0" w:right="0"/>
        <w:jc w:val="left"/>
      </w:pPr>
      <w:r>
        <w:rPr>
          <w:rFonts w:eastAsia="Arial" w:ascii="Arial" w:hAnsi="Arial" w:cs="Arial"/>
          <w:sz w:val="22"/>
        </w:rPr>
        <w:t xml:space="preserve">高斌</w:t>
      </w:r>
    </w:p>
  </w:comment>
  <w:comment w:id="6" w:author="雨过天睛" w:date="2026-04-22T16:54:24Z">
    <w:p w14:paraId="00000007" w14:textId="00000007">
      <w:pPr>
        <w:spacing w:line="240" w:after="0" w:lineRule="auto" w:before="0"/>
        <w:ind w:firstLine="0" w:left="0" w:right="0"/>
        <w:jc w:val="left"/>
      </w:pPr>
      <w:r>
        <w:rPr>
          <w:rFonts w:eastAsia="Arial" w:ascii="Arial" w:hAnsi="Arial" w:cs="Arial"/>
          <w:sz w:val="22"/>
        </w:rPr>
        <w:t xml:space="preserve">13775739598</w:t>
      </w:r>
    </w:p>
  </w:comment>
</w:comments>
</file>

<file path=word/commentsExtendedDocument.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00000001" w15:done="0"/>
  <w15:commentEx w15:paraId="00000002" w15:done="0"/>
  <w15:commentEx w15:paraId="00000003" w15:done="0"/>
  <w15:commentEx w15:paraId="00000004" w15:done="0"/>
  <w15:commentEx w15:paraId="00000005" w15:done="0"/>
  <w15:commentEx w15:paraId="00000006" w15:done="0"/>
  <w15:commentEx w15:paraId="00000007" w15:done="0"/>
</w15:commentsEx>
</file>

<file path=word/commentsIdsDocument.xml><?xml version="1.0" encoding="utf-8"?>
<w16cid:commentsIds xmlns:mc="http://schemas.openxmlformats.org/markup-compatibility/2006" xmlns:w16cid="http://schemas.microsoft.com/office/word/2016/wordml/cid" mc:Ignorable="w16cid">
  <w16cid:commentId w16cid:paraId="00000001" w16cid:durableId="49B6E83F"/>
  <w16cid:commentId w16cid:paraId="00000002" w16cid:durableId="584F4C41"/>
  <w16cid:commentId w16cid:paraId="00000003" w16cid:durableId="00819F9E"/>
  <w16cid:commentId w16cid:paraId="00000004" w16cid:durableId="50D8204F"/>
  <w16cid:commentId w16cid:paraId="00000005" w16cid:durableId="13854464"/>
  <w16cid:commentId w16cid:paraId="00000006" w16cid:durableId="5D46DDBD"/>
  <w16cid:commentId w16cid:paraId="00000007" w16cid:durableId="25BFC204"/>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Hei">
    <w:panose1 w:val="02010609060101010101"/>
  </w:font>
  <w:font w:name="FangSong">
    <w:panose1 w:val="02010609060101010101"/>
  </w:font>
  <w:font w:name="KaiTi">
    <w:panose1 w:val="02010609060101010101"/>
  </w:font>
  <w:font w:name="Symbol">
    <w:panose1 w:val="05050102010706020507"/>
  </w:font>
  <w:font w:name="Wingdings">
    <w:panose1 w:val="05000000000000000000"/>
  </w:font>
  <w:font w:name="Courier New">
    <w:panose1 w:val="02070309020205020404"/>
  </w:font>
  <w:font w:name="楷体_GB2312">
    <w:panose1 w:val="02010609060101010101"/>
  </w:font>
  <w:font w:name="Calibri">
    <w:panose1 w:val="020F0502020204030204"/>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4"/>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14"/>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1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peopleDocument.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雨过天睛">
    <w15:presenceInfo w15:providerId="WPS Office" w15:userId="249334602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4" w:default="1">
    <w:name w:val="Normal"/>
    <w:next w:val="706"/>
    <w:uiPriority w:val="0"/>
    <w:qFormat/>
    <w:rPr>
      <w:rFonts w:asciiTheme="minorHAnsi" w:hAnsiTheme="minorHAnsi" w:eastAsiaTheme="minorEastAsia" w:cstheme="minorBidi"/>
      <w:sz w:val="21"/>
      <w:szCs w:val="22"/>
    </w:rPr>
  </w:style>
  <w:style w:type="paragraph" w:styleId="695">
    <w:name w:val="Heading 1"/>
    <w:next w:val="694"/>
    <w:link w:val="731"/>
    <w:uiPriority w:val="9"/>
    <w:qFormat/>
    <w:pPr>
      <w:keepLines/>
      <w:keepNext/>
      <w:spacing w:before="480" w:after="200"/>
      <w:outlineLvl w:val="0"/>
    </w:pPr>
    <w:rPr>
      <w:rFonts w:ascii="Arial" w:hAnsi="Arial" w:eastAsia="Arial" w:cs="Arial"/>
      <w:sz w:val="40"/>
      <w:szCs w:val="40"/>
    </w:rPr>
  </w:style>
  <w:style w:type="paragraph" w:styleId="696">
    <w:name w:val="Heading 2"/>
    <w:next w:val="694"/>
    <w:link w:val="732"/>
    <w:uiPriority w:val="9"/>
    <w:unhideWhenUsed/>
    <w:qFormat/>
    <w:pPr>
      <w:keepLines/>
      <w:keepNext/>
      <w:spacing w:before="360" w:after="200"/>
      <w:outlineLvl w:val="1"/>
    </w:pPr>
    <w:rPr>
      <w:rFonts w:ascii="Arial" w:hAnsi="Arial" w:eastAsia="Arial" w:cs="Arial"/>
      <w:sz w:val="34"/>
      <w:szCs w:val="22"/>
    </w:rPr>
  </w:style>
  <w:style w:type="paragraph" w:styleId="697">
    <w:name w:val="Heading 3"/>
    <w:next w:val="694"/>
    <w:link w:val="733"/>
    <w:uiPriority w:val="9"/>
    <w:unhideWhenUsed/>
    <w:qFormat/>
    <w:pPr>
      <w:keepLines/>
      <w:keepNext/>
      <w:spacing w:before="320" w:after="200"/>
      <w:outlineLvl w:val="2"/>
    </w:pPr>
    <w:rPr>
      <w:rFonts w:ascii="Arial" w:hAnsi="Arial" w:eastAsia="Arial" w:cs="Arial"/>
      <w:sz w:val="30"/>
      <w:szCs w:val="30"/>
    </w:rPr>
  </w:style>
  <w:style w:type="paragraph" w:styleId="698">
    <w:name w:val="Heading 4"/>
    <w:next w:val="694"/>
    <w:link w:val="734"/>
    <w:uiPriority w:val="9"/>
    <w:unhideWhenUsed/>
    <w:qFormat/>
    <w:pPr>
      <w:keepLines/>
      <w:keepNext/>
      <w:spacing w:before="320" w:after="200"/>
      <w:outlineLvl w:val="3"/>
    </w:pPr>
    <w:rPr>
      <w:rFonts w:ascii="Arial" w:hAnsi="Arial" w:eastAsia="Arial" w:cs="Arial"/>
      <w:b/>
      <w:bCs/>
      <w:sz w:val="26"/>
      <w:szCs w:val="26"/>
    </w:rPr>
  </w:style>
  <w:style w:type="paragraph" w:styleId="699">
    <w:name w:val="Heading 5"/>
    <w:next w:val="694"/>
    <w:link w:val="735"/>
    <w:uiPriority w:val="9"/>
    <w:unhideWhenUsed/>
    <w:qFormat/>
    <w:pPr>
      <w:keepLines/>
      <w:keepNext/>
      <w:spacing w:before="320" w:after="200"/>
      <w:outlineLvl w:val="4"/>
    </w:pPr>
    <w:rPr>
      <w:rFonts w:ascii="Arial" w:hAnsi="Arial" w:eastAsia="Arial" w:cs="Arial"/>
      <w:b/>
      <w:bCs/>
      <w:sz w:val="24"/>
      <w:szCs w:val="24"/>
    </w:rPr>
  </w:style>
  <w:style w:type="paragraph" w:styleId="700">
    <w:name w:val="Heading 6"/>
    <w:next w:val="694"/>
    <w:link w:val="736"/>
    <w:uiPriority w:val="9"/>
    <w:unhideWhenUsed/>
    <w:qFormat/>
    <w:pPr>
      <w:keepLines/>
      <w:keepNext/>
      <w:spacing w:before="320" w:after="200"/>
      <w:outlineLvl w:val="5"/>
    </w:pPr>
    <w:rPr>
      <w:rFonts w:ascii="Arial" w:hAnsi="Arial" w:eastAsia="Arial" w:cs="Arial"/>
      <w:b/>
      <w:bCs/>
      <w:sz w:val="22"/>
      <w:szCs w:val="22"/>
    </w:rPr>
  </w:style>
  <w:style w:type="paragraph" w:styleId="701">
    <w:name w:val="Heading 7"/>
    <w:next w:val="694"/>
    <w:link w:val="737"/>
    <w:uiPriority w:val="9"/>
    <w:unhideWhenUsed/>
    <w:qFormat/>
    <w:pPr>
      <w:keepLines/>
      <w:keepNext/>
      <w:spacing w:before="320" w:after="200"/>
      <w:outlineLvl w:val="6"/>
    </w:pPr>
    <w:rPr>
      <w:rFonts w:ascii="Arial" w:hAnsi="Arial" w:eastAsia="Arial" w:cs="Arial"/>
      <w:b/>
      <w:bCs/>
      <w:i/>
      <w:iCs/>
      <w:sz w:val="22"/>
      <w:szCs w:val="22"/>
    </w:rPr>
  </w:style>
  <w:style w:type="paragraph" w:styleId="702">
    <w:name w:val="Heading 8"/>
    <w:next w:val="694"/>
    <w:link w:val="738"/>
    <w:uiPriority w:val="9"/>
    <w:unhideWhenUsed/>
    <w:qFormat/>
    <w:pPr>
      <w:keepLines/>
      <w:keepNext/>
      <w:spacing w:before="320" w:after="200"/>
      <w:outlineLvl w:val="7"/>
    </w:pPr>
    <w:rPr>
      <w:rFonts w:ascii="Arial" w:hAnsi="Arial" w:eastAsia="Arial" w:cs="Arial"/>
      <w:i/>
      <w:iCs/>
      <w:sz w:val="22"/>
      <w:szCs w:val="22"/>
    </w:rPr>
  </w:style>
  <w:style w:type="paragraph" w:styleId="703">
    <w:name w:val="Heading 9"/>
    <w:next w:val="694"/>
    <w:link w:val="739"/>
    <w:uiPriority w:val="9"/>
    <w:unhideWhenUsed/>
    <w:qFormat/>
    <w:pPr>
      <w:keepLines/>
      <w:keepNext/>
      <w:spacing w:before="320" w:after="200"/>
      <w:outlineLvl w:val="8"/>
    </w:pPr>
    <w:rPr>
      <w:rFonts w:ascii="Arial" w:hAnsi="Arial" w:eastAsia="Arial" w:cs="Arial"/>
      <w:i/>
      <w:iCs/>
      <w:sz w:val="21"/>
      <w:szCs w:val="21"/>
    </w:rPr>
  </w:style>
  <w:style w:type="character" w:styleId="704" w:default="1">
    <w:name w:val="Default Paragraph Font"/>
    <w:uiPriority w:val="1"/>
    <w:semiHidden/>
    <w:unhideWhenUsed/>
    <w:qFormat/>
  </w:style>
  <w:style w:type="table" w:styleId="705" w:default="1">
    <w:name w:val="Normal Table"/>
    <w:uiPriority w:val="99"/>
    <w:semiHidden/>
    <w:unhideWhenUsed/>
    <w:qFormat/>
    <w:tblPr>
      <w:tblCellMar>
        <w:left w:w="108" w:type="dxa"/>
        <w:top w:w="0" w:type="dxa"/>
        <w:right w:w="108" w:type="dxa"/>
        <w:bottom w:w="0" w:type="dxa"/>
      </w:tblCellMar>
    </w:tblPr>
  </w:style>
  <w:style w:type="paragraph" w:styleId="706">
    <w:name w:val="Body Text Indent"/>
    <w:basedOn w:val="694"/>
    <w:uiPriority w:val="0"/>
    <w:qFormat/>
    <w:pPr>
      <w:ind w:left="420"/>
      <w:spacing w:after="120"/>
    </w:pPr>
    <w:rPr>
      <w:rFonts w:ascii="Calibri" w:hAnsi="Calibri"/>
    </w:rPr>
  </w:style>
  <w:style w:type="paragraph" w:styleId="707">
    <w:name w:val="toc 7"/>
    <w:next w:val="694"/>
    <w:uiPriority w:val="39"/>
    <w:unhideWhenUsed/>
    <w:qFormat/>
    <w:pPr>
      <w:ind w:left="1701" w:right="0" w:firstLine="0"/>
      <w:spacing w:after="57"/>
    </w:pPr>
    <w:rPr>
      <w:rFonts w:asciiTheme="minorHAnsi" w:hAnsiTheme="minorHAnsi" w:eastAsiaTheme="minorEastAsia" w:cstheme="minorBidi"/>
      <w:sz w:val="21"/>
      <w:szCs w:val="22"/>
    </w:rPr>
  </w:style>
  <w:style w:type="paragraph" w:styleId="708">
    <w:name w:val="Caption"/>
    <w:next w:val="694"/>
    <w:uiPriority w:val="35"/>
    <w:semiHidden/>
    <w:unhideWhenUsed/>
    <w:qFormat/>
    <w:pPr>
      <w:spacing w:line="276" w:lineRule="auto"/>
    </w:pPr>
    <w:rPr>
      <w:rFonts w:asciiTheme="minorHAnsi" w:hAnsiTheme="minorHAnsi" w:eastAsiaTheme="minorEastAsia" w:cstheme="minorBidi"/>
      <w:b/>
      <w:bCs/>
      <w:color w:val="4f81bd" w:themeColor="accent1"/>
      <w:sz w:val="18"/>
      <w:szCs w:val="18"/>
      <w14:textFill>
        <w14:solidFill>
          <w14:schemeClr w14:val="accent1"/>
        </w14:solidFill>
      </w14:textFill>
    </w:rPr>
  </w:style>
  <w:style w:type="paragraph" w:styleId="709">
    <w:name w:val="annotation text"/>
    <w:basedOn w:val="694"/>
    <w:uiPriority w:val="99"/>
    <w:semiHidden/>
    <w:unhideWhenUsed/>
    <w:qFormat/>
    <w:pPr>
      <w:jc w:val="left"/>
    </w:pPr>
  </w:style>
  <w:style w:type="paragraph" w:styleId="710">
    <w:name w:val="toc 5"/>
    <w:next w:val="694"/>
    <w:uiPriority w:val="39"/>
    <w:unhideWhenUsed/>
    <w:qFormat/>
    <w:pPr>
      <w:ind w:left="1134" w:right="0" w:firstLine="0"/>
      <w:spacing w:after="57"/>
    </w:pPr>
    <w:rPr>
      <w:rFonts w:asciiTheme="minorHAnsi" w:hAnsiTheme="minorHAnsi" w:eastAsiaTheme="minorEastAsia" w:cstheme="minorBidi"/>
      <w:sz w:val="21"/>
      <w:szCs w:val="22"/>
    </w:rPr>
  </w:style>
  <w:style w:type="paragraph" w:styleId="711">
    <w:name w:val="toc 3"/>
    <w:next w:val="694"/>
    <w:uiPriority w:val="39"/>
    <w:unhideWhenUsed/>
    <w:qFormat/>
    <w:pPr>
      <w:ind w:left="567" w:right="0" w:firstLine="0"/>
      <w:spacing w:after="57"/>
    </w:pPr>
    <w:rPr>
      <w:rFonts w:asciiTheme="minorHAnsi" w:hAnsiTheme="minorHAnsi" w:eastAsiaTheme="minorEastAsia" w:cstheme="minorBidi"/>
      <w:sz w:val="21"/>
      <w:szCs w:val="22"/>
    </w:rPr>
  </w:style>
  <w:style w:type="paragraph" w:styleId="712">
    <w:name w:val="toc 8"/>
    <w:next w:val="694"/>
    <w:uiPriority w:val="39"/>
    <w:unhideWhenUsed/>
    <w:qFormat/>
    <w:pPr>
      <w:ind w:left="1984" w:right="0" w:firstLine="0"/>
      <w:spacing w:after="57"/>
    </w:pPr>
    <w:rPr>
      <w:rFonts w:asciiTheme="minorHAnsi" w:hAnsiTheme="minorHAnsi" w:eastAsiaTheme="minorEastAsia" w:cstheme="minorBidi"/>
      <w:sz w:val="21"/>
      <w:szCs w:val="22"/>
    </w:rPr>
  </w:style>
  <w:style w:type="paragraph" w:styleId="713">
    <w:name w:val="endnote text"/>
    <w:link w:val="876"/>
    <w:uiPriority w:val="99"/>
    <w:semiHidden/>
    <w:unhideWhenUsed/>
    <w:qFormat/>
    <w:pPr>
      <w:spacing w:after="0" w:line="240" w:lineRule="auto"/>
    </w:pPr>
    <w:rPr>
      <w:rFonts w:asciiTheme="minorHAnsi" w:hAnsiTheme="minorHAnsi" w:eastAsiaTheme="minorEastAsia" w:cstheme="minorBidi"/>
      <w:sz w:val="20"/>
      <w:szCs w:val="22"/>
    </w:rPr>
  </w:style>
  <w:style w:type="paragraph" w:styleId="714">
    <w:name w:val="Footer"/>
    <w:link w:val="749"/>
    <w:uiPriority w:val="99"/>
    <w:unhideWhenUsed/>
    <w:qFormat/>
    <w:pPr>
      <w:spacing w:after="0" w:line="240" w:lineRule="auto"/>
      <w:tabs>
        <w:tab w:val="center" w:pos="7143" w:leader="none"/>
        <w:tab w:val="right" w:pos="14287" w:leader="none"/>
      </w:tabs>
    </w:pPr>
    <w:rPr>
      <w:rFonts w:asciiTheme="minorHAnsi" w:hAnsiTheme="minorHAnsi" w:eastAsiaTheme="minorEastAsia" w:cstheme="minorBidi"/>
      <w:sz w:val="21"/>
      <w:szCs w:val="22"/>
    </w:rPr>
  </w:style>
  <w:style w:type="paragraph" w:styleId="715">
    <w:name w:val="Header"/>
    <w:link w:val="747"/>
    <w:uiPriority w:val="99"/>
    <w:unhideWhenUsed/>
    <w:qFormat/>
    <w:pPr>
      <w:spacing w:after="0" w:line="240" w:lineRule="auto"/>
      <w:tabs>
        <w:tab w:val="center" w:pos="7143" w:leader="none"/>
        <w:tab w:val="right" w:pos="14287" w:leader="none"/>
      </w:tabs>
    </w:pPr>
    <w:rPr>
      <w:rFonts w:asciiTheme="minorHAnsi" w:hAnsiTheme="minorHAnsi" w:eastAsiaTheme="minorEastAsia" w:cstheme="minorBidi"/>
      <w:sz w:val="21"/>
      <w:szCs w:val="22"/>
    </w:rPr>
  </w:style>
  <w:style w:type="paragraph" w:styleId="716">
    <w:name w:val="toc 1"/>
    <w:next w:val="694"/>
    <w:uiPriority w:val="39"/>
    <w:unhideWhenUsed/>
    <w:qFormat/>
    <w:pPr>
      <w:ind w:left="0" w:right="0" w:firstLine="0"/>
      <w:spacing w:after="57"/>
    </w:pPr>
    <w:rPr>
      <w:rFonts w:asciiTheme="minorHAnsi" w:hAnsiTheme="minorHAnsi" w:eastAsiaTheme="minorEastAsia" w:cstheme="minorBidi"/>
      <w:sz w:val="21"/>
      <w:szCs w:val="22"/>
    </w:rPr>
  </w:style>
  <w:style w:type="paragraph" w:styleId="717">
    <w:name w:val="toc 4"/>
    <w:next w:val="694"/>
    <w:uiPriority w:val="39"/>
    <w:unhideWhenUsed/>
    <w:qFormat/>
    <w:pPr>
      <w:ind w:left="850" w:right="0" w:firstLine="0"/>
      <w:spacing w:after="57"/>
    </w:pPr>
    <w:rPr>
      <w:rFonts w:asciiTheme="minorHAnsi" w:hAnsiTheme="minorHAnsi" w:eastAsiaTheme="minorEastAsia" w:cstheme="minorBidi"/>
      <w:sz w:val="21"/>
      <w:szCs w:val="22"/>
    </w:rPr>
  </w:style>
  <w:style w:type="paragraph" w:styleId="718">
    <w:name w:val="Subtitle"/>
    <w:link w:val="742"/>
    <w:uiPriority w:val="11"/>
    <w:qFormat/>
    <w:pPr>
      <w:spacing w:before="200" w:after="200"/>
    </w:pPr>
    <w:rPr>
      <w:rFonts w:asciiTheme="minorHAnsi" w:hAnsiTheme="minorHAnsi" w:eastAsiaTheme="minorEastAsia" w:cstheme="minorBidi"/>
      <w:sz w:val="24"/>
      <w:szCs w:val="24"/>
    </w:rPr>
  </w:style>
  <w:style w:type="paragraph" w:styleId="719">
    <w:name w:val="footnote text"/>
    <w:link w:val="875"/>
    <w:uiPriority w:val="99"/>
    <w:semiHidden/>
    <w:unhideWhenUsed/>
    <w:qFormat/>
    <w:pPr>
      <w:spacing w:after="40" w:line="240" w:lineRule="auto"/>
    </w:pPr>
    <w:rPr>
      <w:rFonts w:asciiTheme="minorHAnsi" w:hAnsiTheme="minorHAnsi" w:eastAsiaTheme="minorEastAsia" w:cstheme="minorBidi"/>
      <w:sz w:val="18"/>
      <w:szCs w:val="22"/>
    </w:rPr>
  </w:style>
  <w:style w:type="paragraph" w:styleId="720">
    <w:name w:val="toc 6"/>
    <w:next w:val="694"/>
    <w:uiPriority w:val="39"/>
    <w:unhideWhenUsed/>
    <w:qFormat/>
    <w:pPr>
      <w:ind w:left="1417" w:right="0" w:firstLine="0"/>
      <w:spacing w:after="57"/>
    </w:pPr>
    <w:rPr>
      <w:rFonts w:asciiTheme="minorHAnsi" w:hAnsiTheme="minorHAnsi" w:eastAsiaTheme="minorEastAsia" w:cstheme="minorBidi"/>
      <w:sz w:val="21"/>
      <w:szCs w:val="22"/>
    </w:rPr>
  </w:style>
  <w:style w:type="paragraph" w:styleId="721">
    <w:name w:val="table of figures"/>
    <w:next w:val="694"/>
    <w:uiPriority w:val="99"/>
    <w:unhideWhenUsed/>
    <w:qFormat/>
    <w:pPr>
      <w:spacing w:after="0" w:afterAutospacing="0"/>
    </w:pPr>
    <w:rPr>
      <w:rFonts w:asciiTheme="minorHAnsi" w:hAnsiTheme="minorHAnsi" w:eastAsiaTheme="minorEastAsia" w:cstheme="minorBidi"/>
      <w:sz w:val="21"/>
      <w:szCs w:val="22"/>
    </w:rPr>
  </w:style>
  <w:style w:type="paragraph" w:styleId="722">
    <w:name w:val="toc 2"/>
    <w:next w:val="694"/>
    <w:uiPriority w:val="39"/>
    <w:unhideWhenUsed/>
    <w:qFormat/>
    <w:pPr>
      <w:ind w:left="283" w:right="0" w:firstLine="0"/>
      <w:spacing w:after="57"/>
    </w:pPr>
    <w:rPr>
      <w:rFonts w:asciiTheme="minorHAnsi" w:hAnsiTheme="minorHAnsi" w:eastAsiaTheme="minorEastAsia" w:cstheme="minorBidi"/>
      <w:sz w:val="21"/>
      <w:szCs w:val="22"/>
    </w:rPr>
  </w:style>
  <w:style w:type="paragraph" w:styleId="723">
    <w:name w:val="toc 9"/>
    <w:next w:val="694"/>
    <w:uiPriority w:val="39"/>
    <w:unhideWhenUsed/>
    <w:qFormat/>
    <w:pPr>
      <w:ind w:left="2268" w:right="0" w:firstLine="0"/>
      <w:spacing w:after="57"/>
    </w:pPr>
    <w:rPr>
      <w:rFonts w:asciiTheme="minorHAnsi" w:hAnsiTheme="minorHAnsi" w:eastAsiaTheme="minorEastAsia" w:cstheme="minorBidi"/>
      <w:sz w:val="21"/>
      <w:szCs w:val="22"/>
    </w:rPr>
  </w:style>
  <w:style w:type="paragraph" w:styleId="724">
    <w:name w:val="Title"/>
    <w:link w:val="741"/>
    <w:uiPriority w:val="10"/>
    <w:qFormat/>
    <w:pPr>
      <w:contextualSpacing/>
      <w:spacing w:before="300" w:after="200"/>
    </w:pPr>
    <w:rPr>
      <w:rFonts w:asciiTheme="minorHAnsi" w:hAnsiTheme="minorHAnsi" w:eastAsiaTheme="minorEastAsia" w:cstheme="minorBidi"/>
      <w:sz w:val="48"/>
      <w:szCs w:val="48"/>
    </w:rPr>
  </w:style>
  <w:style w:type="table" w:styleId="72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6">
    <w:name w:val="endnote reference"/>
    <w:uiPriority w:val="99"/>
    <w:semiHidden/>
    <w:unhideWhenUsed/>
    <w:qFormat/>
    <w:rPr>
      <w:vertAlign w:val="superscript"/>
    </w:rPr>
  </w:style>
  <w:style w:type="character" w:styleId="727">
    <w:name w:val="Hyperlink"/>
    <w:uiPriority w:val="99"/>
    <w:unhideWhenUsed/>
    <w:qFormat/>
    <w:rPr>
      <w:color w:val="0000ff" w:themeColor="hyperlink"/>
      <w:u w:val="single"/>
      <w14:textFill>
        <w14:solidFill>
          <w14:schemeClr w14:val="hlink"/>
        </w14:solidFill>
      </w14:textFill>
    </w:rPr>
  </w:style>
  <w:style w:type="character" w:styleId="728">
    <w:name w:val="footnote reference"/>
    <w:uiPriority w:val="99"/>
    <w:unhideWhenUsed/>
    <w:qFormat/>
    <w:rPr>
      <w:vertAlign w:val="superscript"/>
    </w:rPr>
  </w:style>
  <w:style w:type="paragraph" w:styleId="729">
    <w:name w:val="List Paragraph"/>
    <w:basedOn w:val="694"/>
    <w:uiPriority w:val="34"/>
    <w:qFormat/>
    <w:pPr>
      <w:contextualSpacing/>
      <w:ind w:left="720"/>
    </w:pPr>
    <w:rPr>
      <w:rFonts w:asciiTheme="minorHAnsi" w:hAnsiTheme="minorHAnsi" w:eastAsiaTheme="minorEastAsia" w:cstheme="minorBidi"/>
      <w:sz w:val="21"/>
      <w:szCs w:val="22"/>
    </w:rPr>
  </w:style>
  <w:style w:type="paragraph" w:styleId="730" w:customStyle="1">
    <w:name w:val="列出段落1"/>
    <w:basedOn w:val="694"/>
    <w:uiPriority w:val="0"/>
    <w:qFormat/>
    <w:pPr>
      <w:ind w:firstLine="420"/>
    </w:pPr>
    <w:rPr>
      <w:rFonts w:ascii="Calibri" w:hAnsi="Calibri" w:eastAsia="宋体" w:cs="Times New Roman"/>
      <w:sz w:val="20"/>
      <w:szCs w:val="20"/>
    </w:rPr>
  </w:style>
  <w:style w:type="character" w:styleId="731" w:customStyle="1">
    <w:name w:val="Heading 1 Char"/>
    <w:link w:val="695"/>
    <w:uiPriority w:val="9"/>
    <w:qFormat/>
    <w:rPr>
      <w:rFonts w:ascii="Arial" w:hAnsi="Arial" w:eastAsia="Arial" w:cs="Arial"/>
      <w:sz w:val="40"/>
      <w:szCs w:val="40"/>
    </w:rPr>
  </w:style>
  <w:style w:type="character" w:styleId="732" w:customStyle="1">
    <w:name w:val="Heading 2 Char"/>
    <w:link w:val="696"/>
    <w:uiPriority w:val="9"/>
    <w:qFormat/>
    <w:rPr>
      <w:rFonts w:ascii="Arial" w:hAnsi="Arial" w:eastAsia="Arial" w:cs="Arial"/>
      <w:sz w:val="34"/>
    </w:rPr>
  </w:style>
  <w:style w:type="character" w:styleId="733" w:customStyle="1">
    <w:name w:val="Heading 3 Char"/>
    <w:link w:val="697"/>
    <w:uiPriority w:val="9"/>
    <w:qFormat/>
    <w:rPr>
      <w:rFonts w:ascii="Arial" w:hAnsi="Arial" w:eastAsia="Arial" w:cs="Arial"/>
      <w:sz w:val="30"/>
      <w:szCs w:val="30"/>
    </w:rPr>
  </w:style>
  <w:style w:type="character" w:styleId="734" w:customStyle="1">
    <w:name w:val="Heading 4 Char"/>
    <w:link w:val="698"/>
    <w:uiPriority w:val="9"/>
    <w:qFormat/>
    <w:rPr>
      <w:rFonts w:ascii="Arial" w:hAnsi="Arial" w:eastAsia="Arial" w:cs="Arial"/>
      <w:b/>
      <w:bCs/>
      <w:sz w:val="26"/>
      <w:szCs w:val="26"/>
    </w:rPr>
  </w:style>
  <w:style w:type="character" w:styleId="735" w:customStyle="1">
    <w:name w:val="Heading 5 Char"/>
    <w:link w:val="699"/>
    <w:uiPriority w:val="9"/>
    <w:qFormat/>
    <w:rPr>
      <w:rFonts w:ascii="Arial" w:hAnsi="Arial" w:eastAsia="Arial" w:cs="Arial"/>
      <w:b/>
      <w:bCs/>
      <w:sz w:val="24"/>
      <w:szCs w:val="24"/>
    </w:rPr>
  </w:style>
  <w:style w:type="character" w:styleId="736" w:customStyle="1">
    <w:name w:val="Heading 6 Char"/>
    <w:link w:val="700"/>
    <w:uiPriority w:val="9"/>
    <w:qFormat/>
    <w:rPr>
      <w:rFonts w:ascii="Arial" w:hAnsi="Arial" w:eastAsia="Arial" w:cs="Arial"/>
      <w:b/>
      <w:bCs/>
      <w:sz w:val="22"/>
      <w:szCs w:val="22"/>
    </w:rPr>
  </w:style>
  <w:style w:type="character" w:styleId="737" w:customStyle="1">
    <w:name w:val="Heading 7 Char"/>
    <w:link w:val="701"/>
    <w:uiPriority w:val="9"/>
    <w:qFormat/>
    <w:rPr>
      <w:rFonts w:ascii="Arial" w:hAnsi="Arial" w:eastAsia="Arial" w:cs="Arial"/>
      <w:b/>
      <w:bCs/>
      <w:i/>
      <w:iCs/>
      <w:sz w:val="22"/>
      <w:szCs w:val="22"/>
    </w:rPr>
  </w:style>
  <w:style w:type="character" w:styleId="738" w:customStyle="1">
    <w:name w:val="Heading 8 Char"/>
    <w:link w:val="702"/>
    <w:uiPriority w:val="9"/>
    <w:qFormat/>
    <w:rPr>
      <w:rFonts w:ascii="Arial" w:hAnsi="Arial" w:eastAsia="Arial" w:cs="Arial"/>
      <w:i/>
      <w:iCs/>
      <w:sz w:val="22"/>
      <w:szCs w:val="22"/>
    </w:rPr>
  </w:style>
  <w:style w:type="character" w:styleId="739" w:customStyle="1">
    <w:name w:val="Heading 9 Char"/>
    <w:link w:val="703"/>
    <w:uiPriority w:val="9"/>
    <w:qFormat/>
    <w:rPr>
      <w:rFonts w:ascii="Arial" w:hAnsi="Arial" w:eastAsia="Arial" w:cs="Arial"/>
      <w:i/>
      <w:iCs/>
      <w:sz w:val="21"/>
      <w:szCs w:val="21"/>
    </w:rPr>
  </w:style>
  <w:style w:type="paragraph" w:styleId="740">
    <w:name w:val="No Spacing"/>
    <w:uiPriority w:val="1"/>
    <w:qFormat/>
    <w:pPr>
      <w:spacing w:before="0" w:after="0" w:line="240" w:lineRule="auto"/>
    </w:pPr>
    <w:rPr>
      <w:rFonts w:asciiTheme="minorHAnsi" w:hAnsiTheme="minorHAnsi" w:eastAsiaTheme="minorEastAsia" w:cstheme="minorBidi"/>
      <w:sz w:val="21"/>
      <w:szCs w:val="22"/>
    </w:rPr>
  </w:style>
  <w:style w:type="character" w:styleId="741" w:customStyle="1">
    <w:name w:val="Title Char"/>
    <w:link w:val="724"/>
    <w:uiPriority w:val="10"/>
    <w:qFormat/>
    <w:rPr>
      <w:sz w:val="48"/>
      <w:szCs w:val="48"/>
    </w:rPr>
  </w:style>
  <w:style w:type="character" w:styleId="742" w:customStyle="1">
    <w:name w:val="Subtitle Char"/>
    <w:link w:val="718"/>
    <w:uiPriority w:val="11"/>
    <w:qFormat/>
    <w:rPr>
      <w:sz w:val="24"/>
      <w:szCs w:val="24"/>
    </w:rPr>
  </w:style>
  <w:style w:type="paragraph" w:styleId="743">
    <w:name w:val="Quote"/>
    <w:link w:val="744"/>
    <w:uiPriority w:val="29"/>
    <w:qFormat/>
    <w:pPr>
      <w:ind w:left="720" w:right="720"/>
    </w:pPr>
    <w:rPr>
      <w:rFonts w:asciiTheme="minorHAnsi" w:hAnsiTheme="minorHAnsi" w:eastAsiaTheme="minorEastAsia" w:cstheme="minorBidi"/>
      <w:i/>
      <w:sz w:val="21"/>
      <w:szCs w:val="22"/>
    </w:rPr>
  </w:style>
  <w:style w:type="character" w:styleId="744" w:customStyle="1">
    <w:name w:val="Quote Char"/>
    <w:link w:val="743"/>
    <w:uiPriority w:val="29"/>
    <w:qFormat/>
    <w:rPr>
      <w:i/>
    </w:rPr>
  </w:style>
  <w:style w:type="paragraph" w:styleId="745">
    <w:name w:val="Intense Quote"/>
    <w:link w:val="74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rFonts w:asciiTheme="minorHAnsi" w:hAnsiTheme="minorHAnsi" w:eastAsiaTheme="minorEastAsia" w:cstheme="minorBidi"/>
      <w:i/>
      <w:sz w:val="21"/>
      <w:szCs w:val="22"/>
    </w:rPr>
  </w:style>
  <w:style w:type="character" w:styleId="746" w:customStyle="1">
    <w:name w:val="Intense Quote Char"/>
    <w:link w:val="745"/>
    <w:uiPriority w:val="30"/>
    <w:qFormat/>
    <w:rPr>
      <w:i/>
    </w:rPr>
  </w:style>
  <w:style w:type="character" w:styleId="747" w:customStyle="1">
    <w:name w:val="Header Char"/>
    <w:link w:val="715"/>
    <w:uiPriority w:val="99"/>
    <w:qFormat/>
  </w:style>
  <w:style w:type="character" w:styleId="748" w:customStyle="1">
    <w:name w:val="Footer Char"/>
    <w:link w:val="714"/>
    <w:uiPriority w:val="99"/>
    <w:qFormat/>
  </w:style>
  <w:style w:type="character" w:styleId="749" w:customStyle="1">
    <w:name w:val="Caption Char"/>
    <w:link w:val="714"/>
    <w:uiPriority w:val="99"/>
    <w:qFormat/>
  </w:style>
  <w:style w:type="table" w:styleId="750"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1"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2"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3"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4"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5"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6"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7"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58"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59"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60"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1"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2"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3"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4"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65"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66"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67"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8"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69"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0"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8"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79"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80"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81"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2"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3"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4"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5"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6"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7"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8"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89"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0"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1"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2"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93"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94"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95"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96"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7"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8"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9"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0"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1"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02"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3"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4"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5"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6"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7"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8"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09"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0"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1"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2"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3"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4"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15"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6"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7"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8"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19"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0"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1"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2"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23"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4"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5"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6"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7"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8"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29"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0"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1"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2"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3"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4"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5"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6"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7"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8"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9"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0"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1"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42"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43"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44"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45"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46"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47"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8"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49"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0"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1"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2"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3"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4"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5"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6"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7"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8"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9"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0"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1"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2"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3"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4"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5"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6"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7"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8"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9"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0"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1"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2"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3"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4"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5" w:customStyle="1">
    <w:name w:val="Footnote Text Char"/>
    <w:link w:val="719"/>
    <w:uiPriority w:val="99"/>
    <w:qFormat/>
    <w:rPr>
      <w:sz w:val="18"/>
    </w:rPr>
  </w:style>
  <w:style w:type="character" w:styleId="876" w:customStyle="1">
    <w:name w:val="Endnote Text Char"/>
    <w:link w:val="713"/>
    <w:uiPriority w:val="99"/>
    <w:qFormat/>
    <w:rPr>
      <w:sz w:val="20"/>
    </w:rPr>
  </w:style>
  <w:style w:type="paragraph" w:styleId="877" w:customStyle="1">
    <w:name w:val="TOC Heading"/>
    <w:uiPriority w:val="39"/>
    <w:unhideWhenUsed/>
    <w:qFormat/>
    <w:rPr>
      <w:rFonts w:asciiTheme="minorHAnsi" w:hAnsiTheme="minorHAnsi" w:eastAsiaTheme="minorEastAsia" w:cstheme="minorBidi"/>
      <w:sz w:val="21"/>
      <w:szCs w:val="22"/>
    </w:rPr>
  </w:style>
  <w:style w:type="paragraph" w:styleId="878" w:customStyle="1">
    <w:name w:val="black1"/>
    <w:basedOn w:val="694"/>
    <w:uiPriority w:val="0"/>
    <w:qFormat/>
    <w:pPr>
      <w:jc w:val="left"/>
      <w:spacing w:before="100" w:beforeAutospacing="1" w:after="100" w:afterAutospacing="1"/>
      <w:widowControl/>
    </w:pPr>
    <w:rPr>
      <w:rFonts w:ascii="宋体" w:hAnsi="宋体"/>
      <w:sz w:val="24"/>
    </w:rPr>
  </w:style>
  <w:style w:type="paragraph" w:styleId="879" w:customStyle="1">
    <w:name w:val="无间隔1"/>
    <w:uiPriority w:val="0"/>
    <w:qFormat/>
    <w:rPr>
      <w:rFonts w:hint="default" w:ascii="Times New Roman" w:hAnsi="Times New Roman" w:eastAsia="宋体" w:cs="Times New Roman"/>
      <w:sz w:val="22"/>
      <w:szCs w:val="22"/>
      <w:lang w:val="en-US" w:eastAsia="en-US" w:bidi="ar-SA"/>
    </w:rPr>
  </w:style>
  <w:style w:type="paragraph" w:styleId="880" w:customStyle="1">
    <w:name w:val="目录 11"/>
    <w:basedOn w:val="881"/>
    <w:next w:val="881"/>
    <w:uiPriority w:val="0"/>
    <w:qFormat/>
    <w:pPr>
      <w:spacing w:line="360" w:lineRule="auto"/>
      <w:tabs>
        <w:tab w:val="right" w:pos="9060" w:leader="dot"/>
      </w:tabs>
    </w:pPr>
    <w:rPr>
      <w:sz w:val="24"/>
      <w:szCs w:val="24"/>
    </w:rPr>
  </w:style>
  <w:style w:type="paragraph" w:styleId="881" w:customStyle="1">
    <w:name w:val="正文11"/>
    <w:next w:val="882"/>
    <w:uiPriority w:val="0"/>
    <w:qFormat/>
    <w:pPr>
      <w:jc w:val="both"/>
      <w:widowControl w:val="off"/>
    </w:pPr>
    <w:rPr>
      <w:rFonts w:hint="default" w:ascii="楷体_GB2312" w:hAnsi="Times New Roman" w:eastAsia="楷体_GB2312" w:cs="Times New Roman"/>
      <w:color w:val="000000"/>
      <w:sz w:val="19"/>
      <w:szCs w:val="19"/>
      <w:lang w:val="en-US" w:eastAsia="zh-CN" w:bidi="ar-SA"/>
    </w:rPr>
  </w:style>
  <w:style w:type="paragraph" w:styleId="882" w:customStyle="1">
    <w:name w:val="正文首行缩进 21"/>
    <w:basedOn w:val="883"/>
    <w:next w:val="881"/>
    <w:uiPriority w:val="0"/>
    <w:qFormat/>
    <w:pPr>
      <w:ind w:left="420" w:firstLine="420"/>
      <w:spacing w:after="120"/>
    </w:pPr>
    <w:rPr>
      <w:sz w:val="24"/>
      <w:szCs w:val="24"/>
    </w:rPr>
  </w:style>
  <w:style w:type="paragraph" w:styleId="883" w:customStyle="1">
    <w:name w:val="正文文本缩进1"/>
    <w:basedOn w:val="881"/>
    <w:next w:val="884"/>
    <w:uiPriority w:val="0"/>
    <w:qFormat/>
    <w:pPr>
      <w:ind w:firstLine="630"/>
    </w:pPr>
    <w:rPr>
      <w:sz w:val="20"/>
      <w:szCs w:val="20"/>
    </w:rPr>
  </w:style>
  <w:style w:type="paragraph" w:styleId="884" w:customStyle="1">
    <w:name w:val="寄信人地址1"/>
    <w:basedOn w:val="881"/>
    <w:uiPriority w:val="0"/>
    <w:qFormat/>
    <w:rPr>
      <w:rFonts w:ascii="Arial" w:hAnsi="Arial"/>
      <w:sz w:val="24"/>
      <w:szCs w:val="24"/>
    </w:rPr>
  </w:style>
  <w:style w:type="paragraph" w:styleId="885" w:customStyle="1">
    <w:name w:val="WPS Plain"/>
    <w:uiPriority w:val="0"/>
    <w:qFormat/>
    <w:rPr>
      <w:rFonts w:ascii="Times New Roman" w:hAnsi="Times New Roman" w:eastAsia="宋体" w:cs="Times New Roman"/>
      <w:lang w:val="en-US" w:eastAsia="zh-CN" w:bidi="ar-SA"/>
    </w:rPr>
  </w:style>
  <w:style w:type="numbering" w:styleId="88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nlyoffice.com/commentsDocument" Target="commentsDocument.xml" /><Relationship Id="rId12" Type="http://schemas.onlyoffice.com/commentsExtendedDocument" Target="commentsExtendedDocument.xml" /><Relationship Id="rId13" Type="http://schemas.onlyoffice.com/commentsIdsDocument" Target="commentsIdsDocument.xml" /><Relationship Id="rId14" Type="http://schemas.onlyoffice.com/peopleDocument" Target="peopleDocument.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杨益飞</cp:lastModifiedBy>
  <cp:revision>4</cp:revision>
  <dcterms:created xsi:type="dcterms:W3CDTF">2025-08-12T02:48:00Z</dcterms:created>
  <dcterms:modified xsi:type="dcterms:W3CDTF">2026-05-11T08:15:52Z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eyJoZGlkIjoiM2YxOTg4NTc1Nzc2Y2I1YzNiNTIyNGE5N2NkMWNhNmYiLCJ1c2VySWQiOiIyNTI1ODcxNzMifQ==</vt:lpwstr>
  </property>
  <property fmtid="{D5CDD505-2E9C-101B-9397-08002B2CF9AE}" pid="3" name="KSOProductBuildVer">
    <vt:lpwstr>2052-12.1.0.25865</vt:lpwstr>
  </property>
  <property fmtid="{D5CDD505-2E9C-101B-9397-08002B2CF9AE}" pid="4" name="ICV">
    <vt:lpwstr>BD1EE036C8624BC09206AE1F486A04D1_13</vt:lpwstr>
  </property>
</Properties>
</file>